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48" w:rsidRPr="00A93D48" w:rsidRDefault="00A93D48" w:rsidP="00A93D48">
      <w:pPr>
        <w:pStyle w:val="022"/>
        <w:spacing w:line="240" w:lineRule="auto"/>
        <w:rPr>
          <w:rFonts w:ascii="Bookman Old Style" w:hAnsi="Bookman Old Style"/>
          <w:b/>
          <w:color w:val="0000FF"/>
          <w:sz w:val="32"/>
          <w:szCs w:val="28"/>
        </w:rPr>
      </w:pPr>
      <w:r w:rsidRPr="00A93D48">
        <w:rPr>
          <w:rFonts w:ascii="Bookman Old Style" w:hAnsi="Bookman Old Style"/>
          <w:b/>
          <w:color w:val="0000FF"/>
          <w:sz w:val="32"/>
          <w:szCs w:val="28"/>
        </w:rPr>
        <w:t>Les finances des collectivités locales</w:t>
      </w:r>
      <w:r w:rsidR="00A8613B">
        <w:rPr>
          <w:rFonts w:ascii="Bookman Old Style" w:hAnsi="Bookman Old Style"/>
          <w:b/>
          <w:color w:val="0000FF"/>
          <w:sz w:val="32"/>
          <w:szCs w:val="28"/>
        </w:rPr>
        <w:t> : Méthodes</w:t>
      </w:r>
    </w:p>
    <w:p w:rsidR="00A93D48" w:rsidRPr="00B36137" w:rsidRDefault="00A93D48">
      <w:pPr>
        <w:rPr>
          <w:rFonts w:ascii="Bookman Old Style" w:hAnsi="Bookman Old Style"/>
          <w:b/>
          <w:lang w:val="es-ES"/>
        </w:rPr>
      </w:pPr>
    </w:p>
    <w:p w:rsidR="00DA4C83" w:rsidRPr="00DA4C83" w:rsidRDefault="00A93D48" w:rsidP="00A93D48">
      <w:pPr>
        <w:rPr>
          <w:rFonts w:ascii="Bookman Old Style" w:hAnsi="Bookman Old Style"/>
          <w:b/>
          <w:sz w:val="20"/>
          <w:szCs w:val="20"/>
        </w:rPr>
      </w:pPr>
      <w:r>
        <w:rPr>
          <w:rFonts w:ascii="Bookman Old Style" w:hAnsi="Bookman Old Style"/>
          <w:b/>
        </w:rPr>
        <w:t>A</w:t>
      </w:r>
      <w:r w:rsidR="00C47E22" w:rsidRPr="00C47E22">
        <w:rPr>
          <w:rFonts w:ascii="Bookman Old Style" w:hAnsi="Bookman Old Style"/>
          <w:b/>
        </w:rPr>
        <w:t xml:space="preserve">. </w:t>
      </w:r>
      <w:r w:rsidR="00DA4C83" w:rsidRPr="00DA4C83">
        <w:rPr>
          <w:rFonts w:ascii="Bookman Old Style" w:hAnsi="Bookman Old Style"/>
          <w:b/>
          <w:sz w:val="20"/>
          <w:szCs w:val="20"/>
        </w:rPr>
        <w:t>Une approche méthodologique rénovée privilégiant les opérations réelles</w:t>
      </w:r>
    </w:p>
    <w:p w:rsidR="00B85C60" w:rsidRPr="008B039A" w:rsidRDefault="00A8613B" w:rsidP="00C83CE3">
      <w:pPr>
        <w:jc w:val="both"/>
        <w:rPr>
          <w:rFonts w:ascii="Bookman Old Style" w:hAnsi="Bookman Old Style"/>
          <w:sz w:val="18"/>
          <w:szCs w:val="18"/>
        </w:rPr>
      </w:pPr>
      <w:r>
        <w:rPr>
          <w:rFonts w:ascii="Bookman Old Style" w:hAnsi="Bookman Old Style"/>
          <w:sz w:val="18"/>
          <w:szCs w:val="18"/>
        </w:rPr>
        <w:t>Les statistiques</w:t>
      </w:r>
      <w:r w:rsidRPr="00A8613B">
        <w:rPr>
          <w:rFonts w:ascii="Bookman Old Style" w:hAnsi="Bookman Old Style"/>
          <w:sz w:val="18"/>
          <w:szCs w:val="18"/>
        </w:rPr>
        <w:t xml:space="preserve"> </w:t>
      </w:r>
      <w:r>
        <w:rPr>
          <w:rFonts w:ascii="Bookman Old Style" w:hAnsi="Bookman Old Style"/>
          <w:sz w:val="18"/>
          <w:szCs w:val="18"/>
        </w:rPr>
        <w:t>comptables des collectivités locales élaborées par le département des études et des statistiques (DESL) de la Direction générale des collectivités locales (DGCL) à partir des balances comptables des collectivités fournies par la Direction générale des finances publiques (</w:t>
      </w:r>
      <w:proofErr w:type="spellStart"/>
      <w:r>
        <w:rPr>
          <w:rFonts w:ascii="Bookman Old Style" w:hAnsi="Bookman Old Style"/>
          <w:sz w:val="18"/>
          <w:szCs w:val="18"/>
        </w:rPr>
        <w:t>DGFiP</w:t>
      </w:r>
      <w:proofErr w:type="spellEnd"/>
      <w:r>
        <w:rPr>
          <w:rFonts w:ascii="Bookman Old Style" w:hAnsi="Bookman Old Style"/>
          <w:sz w:val="18"/>
          <w:szCs w:val="18"/>
        </w:rPr>
        <w:t>)</w:t>
      </w:r>
      <w:r w:rsidR="00A93D48">
        <w:rPr>
          <w:rFonts w:ascii="Bookman Old Style" w:hAnsi="Bookman Old Style"/>
          <w:sz w:val="18"/>
          <w:szCs w:val="18"/>
        </w:rPr>
        <w:t xml:space="preserve"> s’appuie</w:t>
      </w:r>
      <w:r>
        <w:rPr>
          <w:rFonts w:ascii="Bookman Old Style" w:hAnsi="Bookman Old Style"/>
          <w:sz w:val="18"/>
          <w:szCs w:val="18"/>
        </w:rPr>
        <w:t>nt</w:t>
      </w:r>
      <w:r w:rsidR="00A93D48">
        <w:rPr>
          <w:rFonts w:ascii="Bookman Old Style" w:hAnsi="Bookman Old Style"/>
          <w:sz w:val="18"/>
          <w:szCs w:val="18"/>
        </w:rPr>
        <w:t xml:space="preserve"> </w:t>
      </w:r>
      <w:r>
        <w:rPr>
          <w:rFonts w:ascii="Bookman Old Style" w:hAnsi="Bookman Old Style"/>
          <w:sz w:val="18"/>
          <w:szCs w:val="18"/>
        </w:rPr>
        <w:t xml:space="preserve">à partir de 2017 </w:t>
      </w:r>
      <w:r w:rsidR="00A93D48">
        <w:rPr>
          <w:rFonts w:ascii="Bookman Old Style" w:hAnsi="Bookman Old Style"/>
          <w:sz w:val="18"/>
          <w:szCs w:val="18"/>
        </w:rPr>
        <w:t>sur des</w:t>
      </w:r>
      <w:r w:rsidR="006C2E6F" w:rsidRPr="008B039A">
        <w:rPr>
          <w:rFonts w:ascii="Bookman Old Style" w:hAnsi="Bookman Old Style"/>
          <w:sz w:val="18"/>
          <w:szCs w:val="18"/>
        </w:rPr>
        <w:t xml:space="preserve"> </w:t>
      </w:r>
      <w:r w:rsidR="004B52FF" w:rsidRPr="008B039A">
        <w:rPr>
          <w:rFonts w:ascii="Bookman Old Style" w:hAnsi="Bookman Old Style"/>
          <w:sz w:val="18"/>
          <w:szCs w:val="18"/>
        </w:rPr>
        <w:t xml:space="preserve">agrégats comptables </w:t>
      </w:r>
      <w:r w:rsidR="006C2E6F" w:rsidRPr="008B039A">
        <w:rPr>
          <w:rFonts w:ascii="Bookman Old Style" w:hAnsi="Bookman Old Style"/>
          <w:sz w:val="18"/>
          <w:szCs w:val="18"/>
        </w:rPr>
        <w:t xml:space="preserve">en ne prenant en compte que </w:t>
      </w:r>
      <w:r w:rsidR="002D3278" w:rsidRPr="008B039A">
        <w:rPr>
          <w:rFonts w:ascii="Bookman Old Style" w:hAnsi="Bookman Old Style"/>
          <w:sz w:val="18"/>
          <w:szCs w:val="18"/>
        </w:rPr>
        <w:t xml:space="preserve">les opérations dites "réelles", </w:t>
      </w:r>
      <w:r w:rsidR="003270DE">
        <w:rPr>
          <w:rFonts w:ascii="Bookman Old Style" w:hAnsi="Bookman Old Style"/>
          <w:sz w:val="18"/>
          <w:szCs w:val="18"/>
        </w:rPr>
        <w:t xml:space="preserve">c’est-à-dire </w:t>
      </w:r>
      <w:r w:rsidR="002D3278" w:rsidRPr="008B039A">
        <w:rPr>
          <w:rFonts w:ascii="Bookman Old Style" w:hAnsi="Bookman Old Style"/>
          <w:sz w:val="18"/>
          <w:szCs w:val="18"/>
        </w:rPr>
        <w:t>correspondant à des transferts monétaires effectifs.</w:t>
      </w:r>
      <w:r w:rsidR="00B85C60" w:rsidRPr="008B039A">
        <w:rPr>
          <w:rFonts w:ascii="Bookman Old Style" w:hAnsi="Bookman Old Style"/>
          <w:sz w:val="18"/>
          <w:szCs w:val="18"/>
        </w:rPr>
        <w:t xml:space="preserve"> </w:t>
      </w:r>
      <w:r w:rsidR="00A93D48">
        <w:rPr>
          <w:rFonts w:ascii="Bookman Old Style" w:hAnsi="Bookman Old Style"/>
          <w:sz w:val="18"/>
          <w:szCs w:val="18"/>
        </w:rPr>
        <w:t xml:space="preserve">Les </w:t>
      </w:r>
      <w:r>
        <w:rPr>
          <w:rFonts w:ascii="Bookman Old Style" w:hAnsi="Bookman Old Style"/>
          <w:sz w:val="18"/>
          <w:szCs w:val="18"/>
        </w:rPr>
        <w:t>statistiques comptables étaient auparavant diffusées</w:t>
      </w:r>
      <w:r w:rsidR="00A93D48">
        <w:rPr>
          <w:rFonts w:ascii="Bookman Old Style" w:hAnsi="Bookman Old Style"/>
          <w:sz w:val="18"/>
          <w:szCs w:val="18"/>
        </w:rPr>
        <w:t xml:space="preserve"> en opérations dites « budgétaires ». </w:t>
      </w:r>
      <w:r w:rsidR="00B85C60" w:rsidRPr="008B039A">
        <w:rPr>
          <w:rFonts w:ascii="Bookman Old Style" w:hAnsi="Bookman Old Style"/>
          <w:sz w:val="18"/>
          <w:szCs w:val="18"/>
        </w:rPr>
        <w:t xml:space="preserve">La différence </w:t>
      </w:r>
      <w:r w:rsidR="006C2E6F" w:rsidRPr="008B039A">
        <w:rPr>
          <w:rFonts w:ascii="Bookman Old Style" w:hAnsi="Bookman Old Style"/>
          <w:sz w:val="18"/>
          <w:szCs w:val="18"/>
        </w:rPr>
        <w:t xml:space="preserve">correspond </w:t>
      </w:r>
      <w:r w:rsidR="00BC11FA">
        <w:rPr>
          <w:rFonts w:ascii="Bookman Old Style" w:hAnsi="Bookman Old Style"/>
          <w:sz w:val="18"/>
          <w:szCs w:val="18"/>
        </w:rPr>
        <w:t>à des</w:t>
      </w:r>
      <w:r w:rsidR="00B85C60" w:rsidRPr="008B039A">
        <w:rPr>
          <w:rFonts w:ascii="Bookman Old Style" w:hAnsi="Bookman Old Style"/>
          <w:sz w:val="18"/>
          <w:szCs w:val="18"/>
        </w:rPr>
        <w:t xml:space="preserve"> opérations </w:t>
      </w:r>
      <w:r w:rsidR="00A93D48">
        <w:rPr>
          <w:rFonts w:ascii="Bookman Old Style" w:hAnsi="Bookman Old Style"/>
          <w:sz w:val="18"/>
          <w:szCs w:val="18"/>
        </w:rPr>
        <w:t>« </w:t>
      </w:r>
      <w:r w:rsidR="00B85C60" w:rsidRPr="008B039A">
        <w:rPr>
          <w:rFonts w:ascii="Bookman Old Style" w:hAnsi="Bookman Old Style"/>
          <w:sz w:val="18"/>
          <w:szCs w:val="18"/>
        </w:rPr>
        <w:t>d'ordre budgétaire</w:t>
      </w:r>
      <w:r w:rsidR="00A93D48">
        <w:rPr>
          <w:rFonts w:ascii="Bookman Old Style" w:hAnsi="Bookman Old Style"/>
          <w:sz w:val="18"/>
          <w:szCs w:val="18"/>
        </w:rPr>
        <w:t> »</w:t>
      </w:r>
      <w:r w:rsidR="006C2E6F" w:rsidRPr="008B039A">
        <w:rPr>
          <w:rFonts w:ascii="Bookman Old Style" w:hAnsi="Bookman Old Style"/>
          <w:sz w:val="18"/>
          <w:szCs w:val="18"/>
        </w:rPr>
        <w:t>,</w:t>
      </w:r>
      <w:r w:rsidR="00B85C60" w:rsidRPr="008B039A">
        <w:rPr>
          <w:rFonts w:ascii="Bookman Old Style" w:hAnsi="Bookman Old Style"/>
          <w:sz w:val="18"/>
          <w:szCs w:val="18"/>
        </w:rPr>
        <w:t xml:space="preserve"> qui retracent des mouvements entre lignes budgéta</w:t>
      </w:r>
      <w:r w:rsidR="006C2E6F" w:rsidRPr="008B039A">
        <w:rPr>
          <w:rFonts w:ascii="Bookman Old Style" w:hAnsi="Bookman Old Style"/>
          <w:sz w:val="18"/>
          <w:szCs w:val="18"/>
        </w:rPr>
        <w:t>ires sans décaissement effectif</w:t>
      </w:r>
      <w:r w:rsidR="00B85C60" w:rsidRPr="008B039A">
        <w:rPr>
          <w:rFonts w:ascii="Bookman Old Style" w:hAnsi="Bookman Old Style"/>
          <w:sz w:val="18"/>
          <w:szCs w:val="18"/>
        </w:rPr>
        <w:t xml:space="preserve">. Les opérations réelles présentent </w:t>
      </w:r>
      <w:r w:rsidR="00BB4EB9" w:rsidRPr="008B039A">
        <w:rPr>
          <w:rFonts w:ascii="Bookman Old Style" w:hAnsi="Bookman Old Style"/>
          <w:sz w:val="18"/>
          <w:szCs w:val="18"/>
        </w:rPr>
        <w:t xml:space="preserve">ainsi </w:t>
      </w:r>
      <w:r w:rsidR="00B85C60" w:rsidRPr="008B039A">
        <w:rPr>
          <w:rFonts w:ascii="Bookman Old Style" w:hAnsi="Bookman Old Style"/>
          <w:sz w:val="18"/>
          <w:szCs w:val="18"/>
        </w:rPr>
        <w:t xml:space="preserve">une vision plus économique de l'activité des collectivités locales. </w:t>
      </w:r>
    </w:p>
    <w:p w:rsidR="002D3278" w:rsidRPr="008B039A" w:rsidRDefault="003270DE" w:rsidP="00C83CE3">
      <w:pPr>
        <w:jc w:val="both"/>
        <w:rPr>
          <w:rFonts w:ascii="Bookman Old Style" w:hAnsi="Bookman Old Style"/>
          <w:sz w:val="18"/>
          <w:szCs w:val="18"/>
        </w:rPr>
      </w:pPr>
      <w:r>
        <w:rPr>
          <w:rFonts w:ascii="Bookman Old Style" w:hAnsi="Bookman Old Style"/>
          <w:sz w:val="18"/>
          <w:szCs w:val="18"/>
        </w:rPr>
        <w:t>L</w:t>
      </w:r>
      <w:r w:rsidR="006C2E6F" w:rsidRPr="008B039A">
        <w:rPr>
          <w:rFonts w:ascii="Bookman Old Style" w:hAnsi="Bookman Old Style"/>
          <w:sz w:val="18"/>
          <w:szCs w:val="18"/>
        </w:rPr>
        <w:t>es approches en opérations réelles et en opérations budgétaires diffèrent essentiellement au niveau de la section d'investissement, à la fois en recettes et en dépenses</w:t>
      </w:r>
      <w:r w:rsidR="00A93D48">
        <w:rPr>
          <w:rFonts w:ascii="Bookman Old Style" w:hAnsi="Bookman Old Style"/>
          <w:sz w:val="18"/>
          <w:szCs w:val="18"/>
        </w:rPr>
        <w:t>, mais aussi pour les opérations financières (</w:t>
      </w:r>
      <w:r>
        <w:rPr>
          <w:rFonts w:ascii="Bookman Old Style" w:hAnsi="Bookman Old Style"/>
          <w:sz w:val="18"/>
          <w:szCs w:val="18"/>
        </w:rPr>
        <w:t>par exemple</w:t>
      </w:r>
      <w:r w:rsidRPr="008B039A">
        <w:rPr>
          <w:rFonts w:ascii="Bookman Old Style" w:hAnsi="Bookman Old Style"/>
          <w:sz w:val="18"/>
          <w:szCs w:val="18"/>
        </w:rPr>
        <w:t xml:space="preserve"> </w:t>
      </w:r>
      <w:r>
        <w:rPr>
          <w:rFonts w:ascii="Bookman Old Style" w:hAnsi="Bookman Old Style"/>
          <w:sz w:val="18"/>
          <w:szCs w:val="18"/>
        </w:rPr>
        <w:t xml:space="preserve">à cause des </w:t>
      </w:r>
      <w:r w:rsidR="00F13DA1" w:rsidRPr="008B039A">
        <w:rPr>
          <w:rFonts w:ascii="Bookman Old Style" w:hAnsi="Bookman Old Style"/>
          <w:sz w:val="18"/>
          <w:szCs w:val="18"/>
        </w:rPr>
        <w:t>remboursements anticipé</w:t>
      </w:r>
      <w:r w:rsidR="00350740" w:rsidRPr="008B039A">
        <w:rPr>
          <w:rFonts w:ascii="Bookman Old Style" w:hAnsi="Bookman Old Style"/>
          <w:sz w:val="18"/>
          <w:szCs w:val="18"/>
        </w:rPr>
        <w:t>s</w:t>
      </w:r>
      <w:r w:rsidR="00F13DA1" w:rsidRPr="008B039A">
        <w:rPr>
          <w:rFonts w:ascii="Bookman Old Style" w:hAnsi="Bookman Old Style"/>
          <w:sz w:val="18"/>
          <w:szCs w:val="18"/>
        </w:rPr>
        <w:t xml:space="preserve"> des emprunts </w:t>
      </w:r>
      <w:r w:rsidR="00DA4B1C">
        <w:rPr>
          <w:rFonts w:ascii="Bookman Old Style" w:hAnsi="Bookman Old Style"/>
          <w:sz w:val="18"/>
          <w:szCs w:val="18"/>
        </w:rPr>
        <w:t>structurés, qui peuvent générer</w:t>
      </w:r>
      <w:r w:rsidR="00A93D48">
        <w:rPr>
          <w:rFonts w:ascii="Bookman Old Style" w:hAnsi="Bookman Old Style"/>
          <w:sz w:val="18"/>
          <w:szCs w:val="18"/>
        </w:rPr>
        <w:t xml:space="preserve"> des indemnités de remboursements et de nouveaux emprunts, opérations effectuées sans décaissement)</w:t>
      </w:r>
      <w:r w:rsidR="00F13DA1" w:rsidRPr="008B039A">
        <w:rPr>
          <w:rFonts w:ascii="Bookman Old Style" w:hAnsi="Bookman Old Style"/>
          <w:sz w:val="18"/>
          <w:szCs w:val="18"/>
        </w:rPr>
        <w:t xml:space="preserve">. </w:t>
      </w:r>
    </w:p>
    <w:p w:rsidR="006C2E6F" w:rsidRDefault="006C2E6F" w:rsidP="006C2E6F">
      <w:pPr>
        <w:jc w:val="both"/>
        <w:rPr>
          <w:rFonts w:ascii="Bookman Old Style" w:hAnsi="Bookman Old Style"/>
          <w:sz w:val="18"/>
          <w:szCs w:val="18"/>
        </w:rPr>
      </w:pPr>
      <w:r w:rsidRPr="008B039A">
        <w:rPr>
          <w:rFonts w:ascii="Bookman Old Style" w:hAnsi="Bookman Old Style"/>
          <w:sz w:val="18"/>
          <w:szCs w:val="18"/>
        </w:rPr>
        <w:t xml:space="preserve">A l'occasion du passage en opérations réelles, les définitions de certains agrégats ont été aménagées. En particulier, dans la nouvelle approche, la </w:t>
      </w:r>
      <w:r w:rsidRPr="008B039A">
        <w:rPr>
          <w:rFonts w:ascii="Bookman Old Style" w:hAnsi="Bookman Old Style"/>
          <w:i/>
          <w:sz w:val="18"/>
          <w:szCs w:val="18"/>
        </w:rPr>
        <w:t xml:space="preserve">fiscalité reversée </w:t>
      </w:r>
      <w:r w:rsidR="009D2F89">
        <w:rPr>
          <w:rFonts w:ascii="Bookman Old Style" w:hAnsi="Bookman Old Style"/>
          <w:sz w:val="18"/>
          <w:szCs w:val="18"/>
        </w:rPr>
        <w:t>entre</w:t>
      </w:r>
      <w:r w:rsidR="009D2F89" w:rsidRPr="008B039A">
        <w:rPr>
          <w:rFonts w:ascii="Bookman Old Style" w:hAnsi="Bookman Old Style"/>
          <w:sz w:val="18"/>
          <w:szCs w:val="18"/>
        </w:rPr>
        <w:t xml:space="preserve"> </w:t>
      </w:r>
      <w:r w:rsidRPr="008B039A">
        <w:rPr>
          <w:rFonts w:ascii="Bookman Old Style" w:hAnsi="Bookman Old Style"/>
          <w:sz w:val="18"/>
          <w:szCs w:val="18"/>
        </w:rPr>
        <w:t xml:space="preserve">les </w:t>
      </w:r>
      <w:r w:rsidR="00C12B23">
        <w:rPr>
          <w:rFonts w:ascii="Bookman Old Style" w:hAnsi="Bookman Old Style"/>
          <w:sz w:val="18"/>
          <w:szCs w:val="18"/>
        </w:rPr>
        <w:t>groupements à fiscalité propre (</w:t>
      </w:r>
      <w:r w:rsidRPr="008B039A">
        <w:rPr>
          <w:rFonts w:ascii="Bookman Old Style" w:hAnsi="Bookman Old Style"/>
          <w:sz w:val="18"/>
          <w:szCs w:val="18"/>
        </w:rPr>
        <w:t>GFP</w:t>
      </w:r>
      <w:r w:rsidR="00C12B23">
        <w:rPr>
          <w:rFonts w:ascii="Bookman Old Style" w:hAnsi="Bookman Old Style"/>
          <w:sz w:val="18"/>
          <w:szCs w:val="18"/>
        </w:rPr>
        <w:t>)</w:t>
      </w:r>
      <w:r w:rsidRPr="008B039A">
        <w:rPr>
          <w:rFonts w:ascii="Bookman Old Style" w:hAnsi="Bookman Old Style"/>
          <w:sz w:val="18"/>
          <w:szCs w:val="18"/>
        </w:rPr>
        <w:t xml:space="preserve"> </w:t>
      </w:r>
      <w:r w:rsidR="009D2F89">
        <w:rPr>
          <w:rFonts w:ascii="Bookman Old Style" w:hAnsi="Bookman Old Style"/>
          <w:sz w:val="18"/>
          <w:szCs w:val="18"/>
        </w:rPr>
        <w:t>et</w:t>
      </w:r>
      <w:r w:rsidRPr="008B039A">
        <w:rPr>
          <w:rFonts w:ascii="Bookman Old Style" w:hAnsi="Bookman Old Style"/>
          <w:sz w:val="18"/>
          <w:szCs w:val="18"/>
        </w:rPr>
        <w:t xml:space="preserve"> leurs communes membres est neutralisée dans les comptes des GFP, en étant déduite de leurs recettes fiscales, alors que dans la précédente approche</w:t>
      </w:r>
      <w:r w:rsidR="008B039A" w:rsidRPr="008B039A">
        <w:rPr>
          <w:rFonts w:ascii="Bookman Old Style" w:hAnsi="Bookman Old Style"/>
          <w:sz w:val="18"/>
          <w:szCs w:val="18"/>
        </w:rPr>
        <w:t xml:space="preserve"> la fiscalité reversée était considérée comme une dépense des GFP</w:t>
      </w:r>
      <w:r w:rsidRPr="008B039A">
        <w:rPr>
          <w:rFonts w:ascii="Bookman Old Style" w:hAnsi="Bookman Old Style"/>
          <w:sz w:val="18"/>
          <w:szCs w:val="18"/>
        </w:rPr>
        <w:t xml:space="preserve">. </w:t>
      </w:r>
      <w:r w:rsidR="008B039A" w:rsidRPr="008B039A">
        <w:rPr>
          <w:rFonts w:ascii="Bookman Old Style" w:hAnsi="Bookman Old Style"/>
          <w:sz w:val="18"/>
          <w:szCs w:val="18"/>
        </w:rPr>
        <w:t xml:space="preserve">Désormais, les comptes du </w:t>
      </w:r>
      <w:r w:rsidRPr="008B039A">
        <w:rPr>
          <w:rFonts w:ascii="Bookman Old Style" w:hAnsi="Bookman Old Style"/>
          <w:sz w:val="18"/>
          <w:szCs w:val="18"/>
        </w:rPr>
        <w:t>bloc communal</w:t>
      </w:r>
      <w:r w:rsidR="008B039A" w:rsidRPr="008B039A">
        <w:rPr>
          <w:rFonts w:ascii="Bookman Old Style" w:hAnsi="Bookman Old Style"/>
          <w:sz w:val="18"/>
          <w:szCs w:val="18"/>
        </w:rPr>
        <w:t xml:space="preserve"> (communes + </w:t>
      </w:r>
      <w:r w:rsidRPr="008B039A">
        <w:rPr>
          <w:rFonts w:ascii="Bookman Old Style" w:hAnsi="Bookman Old Style"/>
          <w:sz w:val="18"/>
          <w:szCs w:val="18"/>
        </w:rPr>
        <w:t>GFP</w:t>
      </w:r>
      <w:r w:rsidR="008B039A" w:rsidRPr="008B039A">
        <w:rPr>
          <w:rFonts w:ascii="Bookman Old Style" w:hAnsi="Bookman Old Style"/>
          <w:sz w:val="18"/>
          <w:szCs w:val="18"/>
        </w:rPr>
        <w:t>)</w:t>
      </w:r>
      <w:r w:rsidRPr="008B039A">
        <w:rPr>
          <w:rFonts w:ascii="Bookman Old Style" w:hAnsi="Bookman Old Style"/>
          <w:sz w:val="18"/>
          <w:szCs w:val="18"/>
        </w:rPr>
        <w:t xml:space="preserve"> se calcule</w:t>
      </w:r>
      <w:r w:rsidR="008B039A" w:rsidRPr="008B039A">
        <w:rPr>
          <w:rFonts w:ascii="Bookman Old Style" w:hAnsi="Bookman Old Style"/>
          <w:sz w:val="18"/>
          <w:szCs w:val="18"/>
        </w:rPr>
        <w:t>nt</w:t>
      </w:r>
      <w:r w:rsidRPr="008B039A">
        <w:rPr>
          <w:rFonts w:ascii="Bookman Old Style" w:hAnsi="Bookman Old Style"/>
          <w:sz w:val="18"/>
          <w:szCs w:val="18"/>
        </w:rPr>
        <w:t xml:space="preserve"> </w:t>
      </w:r>
      <w:r w:rsidR="003270DE">
        <w:rPr>
          <w:rFonts w:ascii="Bookman Old Style" w:hAnsi="Bookman Old Style"/>
          <w:sz w:val="18"/>
          <w:szCs w:val="18"/>
        </w:rPr>
        <w:t xml:space="preserve">donc </w:t>
      </w:r>
      <w:r w:rsidRPr="008B039A">
        <w:rPr>
          <w:rFonts w:ascii="Bookman Old Style" w:hAnsi="Bookman Old Style"/>
          <w:sz w:val="18"/>
          <w:szCs w:val="18"/>
        </w:rPr>
        <w:t xml:space="preserve">comme </w:t>
      </w:r>
      <w:r w:rsidR="008B039A" w:rsidRPr="008B039A">
        <w:rPr>
          <w:rFonts w:ascii="Bookman Old Style" w:hAnsi="Bookman Old Style"/>
          <w:sz w:val="18"/>
          <w:szCs w:val="18"/>
        </w:rPr>
        <w:t xml:space="preserve">la simple </w:t>
      </w:r>
      <w:r w:rsidRPr="008B039A">
        <w:rPr>
          <w:rFonts w:ascii="Bookman Old Style" w:hAnsi="Bookman Old Style"/>
          <w:sz w:val="18"/>
          <w:szCs w:val="18"/>
        </w:rPr>
        <w:t xml:space="preserve">somme </w:t>
      </w:r>
      <w:r w:rsidR="008B039A" w:rsidRPr="008B039A">
        <w:rPr>
          <w:rFonts w:ascii="Bookman Old Style" w:hAnsi="Bookman Old Style"/>
          <w:sz w:val="18"/>
          <w:szCs w:val="18"/>
        </w:rPr>
        <w:t>des comptes des communes et des comptes des GFP, alors qu'auparavant la fiscalité reversée constituait un double compte qu'il fallait retirer</w:t>
      </w:r>
      <w:r w:rsidRPr="008B039A">
        <w:rPr>
          <w:rFonts w:ascii="Bookman Old Style" w:hAnsi="Bookman Old Style"/>
          <w:sz w:val="18"/>
          <w:szCs w:val="18"/>
        </w:rPr>
        <w:t xml:space="preserve">. </w:t>
      </w:r>
    </w:p>
    <w:p w:rsidR="003270DE" w:rsidRPr="00DA4C83" w:rsidRDefault="003270DE" w:rsidP="003270DE">
      <w:pPr>
        <w:rPr>
          <w:rFonts w:ascii="Bookman Old Style" w:hAnsi="Bookman Old Style"/>
          <w:b/>
          <w:sz w:val="20"/>
          <w:szCs w:val="20"/>
        </w:rPr>
      </w:pPr>
      <w:r>
        <w:rPr>
          <w:rFonts w:ascii="Bookman Old Style" w:hAnsi="Bookman Old Style"/>
          <w:b/>
        </w:rPr>
        <w:t>B</w:t>
      </w:r>
      <w:r w:rsidRPr="00C47E22">
        <w:rPr>
          <w:rFonts w:ascii="Bookman Old Style" w:hAnsi="Bookman Old Style"/>
          <w:b/>
        </w:rPr>
        <w:t xml:space="preserve">. </w:t>
      </w:r>
      <w:r w:rsidR="00C12B23">
        <w:rPr>
          <w:rFonts w:ascii="Bookman Old Style" w:hAnsi="Bookman Old Style"/>
          <w:b/>
          <w:sz w:val="20"/>
          <w:szCs w:val="20"/>
        </w:rPr>
        <w:t xml:space="preserve">Des évolutions calculées </w:t>
      </w:r>
      <w:r>
        <w:rPr>
          <w:rFonts w:ascii="Bookman Old Style" w:hAnsi="Bookman Old Style"/>
          <w:b/>
          <w:sz w:val="20"/>
          <w:szCs w:val="20"/>
        </w:rPr>
        <w:t>« à périmètres constants »</w:t>
      </w:r>
    </w:p>
    <w:p w:rsidR="003270DE" w:rsidRDefault="003270DE" w:rsidP="006C2E6F">
      <w:pPr>
        <w:jc w:val="both"/>
        <w:rPr>
          <w:rFonts w:ascii="Bookman Old Style" w:hAnsi="Bookman Old Style"/>
          <w:sz w:val="18"/>
          <w:szCs w:val="18"/>
        </w:rPr>
      </w:pPr>
      <w:r>
        <w:rPr>
          <w:rFonts w:ascii="Bookman Old Style" w:hAnsi="Bookman Old Style"/>
          <w:sz w:val="18"/>
          <w:szCs w:val="18"/>
        </w:rPr>
        <w:t xml:space="preserve">La transformation du paysage administratif des collectivités locales entraine depuis </w:t>
      </w:r>
      <w:r w:rsidR="00A8613B">
        <w:rPr>
          <w:rFonts w:ascii="Bookman Old Style" w:hAnsi="Bookman Old Style"/>
          <w:sz w:val="18"/>
          <w:szCs w:val="18"/>
        </w:rPr>
        <w:t>2015</w:t>
      </w:r>
      <w:r>
        <w:rPr>
          <w:rFonts w:ascii="Bookman Old Style" w:hAnsi="Bookman Old Style"/>
          <w:sz w:val="18"/>
          <w:szCs w:val="18"/>
        </w:rPr>
        <w:t xml:space="preserve"> des modifications du contour des différents niveaux de collectivités dans des proportions importantes. La métropole de Lyon a été créée en 2015, la métropole du </w:t>
      </w:r>
      <w:r w:rsidR="00B36137">
        <w:rPr>
          <w:rFonts w:ascii="Bookman Old Style" w:hAnsi="Bookman Old Style"/>
          <w:sz w:val="18"/>
          <w:szCs w:val="18"/>
        </w:rPr>
        <w:t>G</w:t>
      </w:r>
      <w:r>
        <w:rPr>
          <w:rFonts w:ascii="Bookman Old Style" w:hAnsi="Bookman Old Style"/>
          <w:sz w:val="18"/>
          <w:szCs w:val="18"/>
        </w:rPr>
        <w:t>rand Paris en 2016, les collectivités territoriales uniques de Martinique et de Guyane en 2016</w:t>
      </w:r>
      <w:r w:rsidR="00B3585C">
        <w:rPr>
          <w:rFonts w:ascii="Bookman Old Style" w:hAnsi="Bookman Old Style"/>
          <w:sz w:val="18"/>
          <w:szCs w:val="18"/>
        </w:rPr>
        <w:t xml:space="preserve"> </w:t>
      </w:r>
      <w:r w:rsidR="00B36137">
        <w:rPr>
          <w:rFonts w:ascii="Bookman Old Style" w:hAnsi="Bookman Old Style"/>
          <w:sz w:val="18"/>
          <w:szCs w:val="18"/>
        </w:rPr>
        <w:t>également</w:t>
      </w:r>
      <w:r>
        <w:rPr>
          <w:rFonts w:ascii="Bookman Old Style" w:hAnsi="Bookman Old Style"/>
          <w:sz w:val="18"/>
          <w:szCs w:val="18"/>
        </w:rPr>
        <w:t xml:space="preserve">. </w:t>
      </w:r>
      <w:r w:rsidR="00E5394C">
        <w:rPr>
          <w:rFonts w:ascii="Bookman Old Style" w:hAnsi="Bookman Old Style"/>
          <w:sz w:val="18"/>
          <w:szCs w:val="18"/>
        </w:rPr>
        <w:t>Pour apprécier correctement l’évolution des finances des différents niveaux de collectivités (communes, GFP, départements, régions) il faut donc tenir compte des différents changements de périmètres</w:t>
      </w:r>
      <w:r w:rsidR="00B3585C">
        <w:rPr>
          <w:rFonts w:ascii="Bookman Old Style" w:hAnsi="Bookman Old Style"/>
          <w:sz w:val="18"/>
          <w:szCs w:val="18"/>
        </w:rPr>
        <w:t xml:space="preserve"> que cela induit</w:t>
      </w:r>
      <w:r w:rsidR="00E5394C">
        <w:rPr>
          <w:rFonts w:ascii="Bookman Old Style" w:hAnsi="Bookman Old Style"/>
          <w:sz w:val="18"/>
          <w:szCs w:val="18"/>
        </w:rPr>
        <w:t xml:space="preserve">. </w:t>
      </w:r>
    </w:p>
    <w:p w:rsidR="00DA4B1C" w:rsidRDefault="00F71D57" w:rsidP="00C5701E">
      <w:pPr>
        <w:jc w:val="both"/>
        <w:rPr>
          <w:rFonts w:ascii="Bookman Old Style" w:hAnsi="Bookman Old Style"/>
          <w:sz w:val="18"/>
          <w:szCs w:val="18"/>
        </w:rPr>
      </w:pPr>
      <w:r>
        <w:rPr>
          <w:rFonts w:ascii="Bookman Old Style" w:hAnsi="Bookman Old Style"/>
          <w:sz w:val="18"/>
          <w:szCs w:val="18"/>
        </w:rPr>
        <w:t>1) </w:t>
      </w:r>
      <w:r w:rsidR="00E5394C">
        <w:rPr>
          <w:rFonts w:ascii="Bookman Old Style" w:hAnsi="Bookman Old Style"/>
          <w:sz w:val="18"/>
          <w:szCs w:val="18"/>
        </w:rPr>
        <w:t xml:space="preserve">C’est le cas entre 2014 et 2015 du fait de la création de la métropole de Lyon. Bien que collectivité locale à statut particulier, et même si elle exerce des compétences départementales, cette métropole est assimilée dans ce rapport à un </w:t>
      </w:r>
      <w:r w:rsidR="00B36137">
        <w:rPr>
          <w:rFonts w:ascii="Bookman Old Style" w:hAnsi="Bookman Old Style"/>
          <w:sz w:val="18"/>
          <w:szCs w:val="18"/>
        </w:rPr>
        <w:t>GFP, comme cela est fait par l’Insee dans les comptes nationaux, en raison des flux importants qui existent entre la métropole de Lyon et ses communes membres, comme il en existe entre les GFP et leurs communes membres</w:t>
      </w:r>
      <w:r w:rsidR="00E5394C">
        <w:rPr>
          <w:rFonts w:ascii="Bookman Old Style" w:hAnsi="Bookman Old Style"/>
          <w:sz w:val="18"/>
          <w:szCs w:val="18"/>
        </w:rPr>
        <w:t xml:space="preserve">. Les montants des agrégats financiers de 2015 </w:t>
      </w:r>
      <w:r w:rsidR="00B3585C">
        <w:rPr>
          <w:rFonts w:ascii="Bookman Old Style" w:hAnsi="Bookman Old Style"/>
          <w:sz w:val="18"/>
          <w:szCs w:val="18"/>
        </w:rPr>
        <w:t xml:space="preserve">pour les GFP </w:t>
      </w:r>
      <w:r w:rsidR="00DA4B1C">
        <w:rPr>
          <w:rFonts w:ascii="Bookman Old Style" w:hAnsi="Bookman Old Style"/>
          <w:sz w:val="18"/>
          <w:szCs w:val="18"/>
        </w:rPr>
        <w:t xml:space="preserve">intègrent donc ceux de cette </w:t>
      </w:r>
      <w:r w:rsidR="00E5394C">
        <w:rPr>
          <w:rFonts w:ascii="Bookman Old Style" w:hAnsi="Bookman Old Style"/>
          <w:sz w:val="18"/>
          <w:szCs w:val="18"/>
        </w:rPr>
        <w:t>métropole</w:t>
      </w:r>
      <w:r w:rsidR="00DA4B1C">
        <w:rPr>
          <w:rFonts w:ascii="Bookman Old Style" w:hAnsi="Bookman Old Style"/>
          <w:sz w:val="18"/>
          <w:szCs w:val="18"/>
        </w:rPr>
        <w:t xml:space="preserve"> particulière</w:t>
      </w:r>
      <w:r w:rsidR="00E5394C">
        <w:rPr>
          <w:rFonts w:ascii="Bookman Old Style" w:hAnsi="Bookman Old Style"/>
          <w:sz w:val="18"/>
          <w:szCs w:val="18"/>
        </w:rPr>
        <w:t>. En revanche</w:t>
      </w:r>
      <w:r w:rsidR="00B36137">
        <w:rPr>
          <w:rFonts w:ascii="Bookman Old Style" w:hAnsi="Bookman Old Style"/>
          <w:sz w:val="18"/>
          <w:szCs w:val="18"/>
        </w:rPr>
        <w:t>,</w:t>
      </w:r>
      <w:r w:rsidR="00E5394C">
        <w:rPr>
          <w:rFonts w:ascii="Bookman Old Style" w:hAnsi="Bookman Old Style"/>
          <w:sz w:val="18"/>
          <w:szCs w:val="18"/>
        </w:rPr>
        <w:t xml:space="preserve"> les évolutions entre 2014 et 2015 </w:t>
      </w:r>
      <w:r w:rsidR="002E2FDE">
        <w:rPr>
          <w:rFonts w:ascii="Bookman Old Style" w:hAnsi="Bookman Old Style"/>
          <w:sz w:val="18"/>
          <w:szCs w:val="18"/>
        </w:rPr>
        <w:t xml:space="preserve">des agrégats concernant les départements et les GFP </w:t>
      </w:r>
      <w:r w:rsidR="00E5394C">
        <w:rPr>
          <w:rFonts w:ascii="Bookman Old Style" w:hAnsi="Bookman Old Style"/>
          <w:sz w:val="18"/>
          <w:szCs w:val="18"/>
        </w:rPr>
        <w:t xml:space="preserve">seraient artificiellement affectées par </w:t>
      </w:r>
      <w:r w:rsidR="002E2FDE">
        <w:rPr>
          <w:rFonts w:ascii="Bookman Old Style" w:hAnsi="Bookman Old Style"/>
          <w:sz w:val="18"/>
          <w:szCs w:val="18"/>
        </w:rPr>
        <w:t>ce changement de périmètre</w:t>
      </w:r>
      <w:r w:rsidR="00E5394C">
        <w:rPr>
          <w:rFonts w:ascii="Bookman Old Style" w:hAnsi="Bookman Old Style"/>
          <w:sz w:val="18"/>
          <w:szCs w:val="18"/>
        </w:rPr>
        <w:t xml:space="preserve">. Pour calculer </w:t>
      </w:r>
      <w:r w:rsidR="002E2FDE">
        <w:rPr>
          <w:rFonts w:ascii="Bookman Old Style" w:hAnsi="Bookman Old Style"/>
          <w:sz w:val="18"/>
          <w:szCs w:val="18"/>
        </w:rPr>
        <w:t>c</w:t>
      </w:r>
      <w:r w:rsidR="00E5394C">
        <w:rPr>
          <w:rFonts w:ascii="Bookman Old Style" w:hAnsi="Bookman Old Style"/>
          <w:sz w:val="18"/>
          <w:szCs w:val="18"/>
        </w:rPr>
        <w:t>es évolutions</w:t>
      </w:r>
      <w:r w:rsidR="002E2FDE">
        <w:rPr>
          <w:rFonts w:ascii="Bookman Old Style" w:hAnsi="Bookman Old Style"/>
          <w:sz w:val="18"/>
          <w:szCs w:val="18"/>
        </w:rPr>
        <w:t>,</w:t>
      </w:r>
      <w:r w:rsidR="00E5394C">
        <w:rPr>
          <w:rFonts w:ascii="Bookman Old Style" w:hAnsi="Bookman Old Style"/>
          <w:sz w:val="18"/>
          <w:szCs w:val="18"/>
        </w:rPr>
        <w:t xml:space="preserve"> on </w:t>
      </w:r>
      <w:r w:rsidR="002E2FDE">
        <w:rPr>
          <w:rFonts w:ascii="Bookman Old Style" w:hAnsi="Bookman Old Style"/>
          <w:sz w:val="18"/>
          <w:szCs w:val="18"/>
        </w:rPr>
        <w:t xml:space="preserve">retire </w:t>
      </w:r>
      <w:r w:rsidR="00E5394C">
        <w:rPr>
          <w:rFonts w:ascii="Bookman Old Style" w:hAnsi="Bookman Old Style"/>
          <w:sz w:val="18"/>
          <w:szCs w:val="18"/>
        </w:rPr>
        <w:t xml:space="preserve">donc </w:t>
      </w:r>
      <w:r w:rsidR="00DB2566">
        <w:rPr>
          <w:rFonts w:ascii="Bookman Old Style" w:hAnsi="Bookman Old Style"/>
          <w:sz w:val="18"/>
          <w:szCs w:val="18"/>
        </w:rPr>
        <w:t xml:space="preserve">du champ des GFP </w:t>
      </w:r>
      <w:r w:rsidR="00E5394C">
        <w:rPr>
          <w:rFonts w:ascii="Bookman Old Style" w:hAnsi="Bookman Old Style"/>
          <w:sz w:val="18"/>
          <w:szCs w:val="18"/>
        </w:rPr>
        <w:t xml:space="preserve">en 2014 la </w:t>
      </w:r>
      <w:r w:rsidR="002E2FDE">
        <w:rPr>
          <w:rFonts w:ascii="Bookman Old Style" w:hAnsi="Bookman Old Style"/>
          <w:sz w:val="18"/>
          <w:szCs w:val="18"/>
        </w:rPr>
        <w:t xml:space="preserve">communauté urbaine </w:t>
      </w:r>
      <w:r w:rsidR="00E5394C">
        <w:rPr>
          <w:rFonts w:ascii="Bookman Old Style" w:hAnsi="Bookman Old Style"/>
          <w:sz w:val="18"/>
          <w:szCs w:val="18"/>
        </w:rPr>
        <w:t>de Lyon</w:t>
      </w:r>
      <w:r w:rsidR="00DB2566">
        <w:rPr>
          <w:rFonts w:ascii="Bookman Old Style" w:hAnsi="Bookman Old Style"/>
          <w:sz w:val="18"/>
          <w:szCs w:val="18"/>
        </w:rPr>
        <w:t>,</w:t>
      </w:r>
      <w:r w:rsidR="00E5394C">
        <w:rPr>
          <w:rFonts w:ascii="Bookman Old Style" w:hAnsi="Bookman Old Style"/>
          <w:sz w:val="18"/>
          <w:szCs w:val="18"/>
        </w:rPr>
        <w:t xml:space="preserve"> et en 2015 la métropole de Lyon</w:t>
      </w:r>
      <w:r w:rsidR="002E2FDE">
        <w:rPr>
          <w:rFonts w:ascii="Bookman Old Style" w:hAnsi="Bookman Old Style"/>
          <w:sz w:val="18"/>
          <w:szCs w:val="18"/>
        </w:rPr>
        <w:t> ; de même, on retire du champ des départements le conseil départemental du Rhône en 2014 et en 2015</w:t>
      </w:r>
      <w:r w:rsidR="00E5394C">
        <w:rPr>
          <w:rFonts w:ascii="Bookman Old Style" w:hAnsi="Bookman Old Style"/>
          <w:sz w:val="18"/>
          <w:szCs w:val="18"/>
        </w:rPr>
        <w:t>.</w:t>
      </w:r>
      <w:r w:rsidR="00DB2566">
        <w:rPr>
          <w:rFonts w:ascii="Bookman Old Style" w:hAnsi="Bookman Old Style"/>
          <w:sz w:val="18"/>
          <w:szCs w:val="18"/>
        </w:rPr>
        <w:t xml:space="preserve"> </w:t>
      </w:r>
      <w:r w:rsidR="002E2FDE">
        <w:rPr>
          <w:rFonts w:ascii="Bookman Old Style" w:hAnsi="Bookman Old Style"/>
          <w:sz w:val="18"/>
          <w:szCs w:val="18"/>
        </w:rPr>
        <w:t>Pou</w:t>
      </w:r>
      <w:r w:rsidR="007A12B1">
        <w:rPr>
          <w:rFonts w:ascii="Bookman Old Style" w:hAnsi="Bookman Old Style"/>
          <w:sz w:val="18"/>
          <w:szCs w:val="18"/>
        </w:rPr>
        <w:t>r les évolutions e</w:t>
      </w:r>
      <w:r w:rsidR="00DB2566">
        <w:rPr>
          <w:rFonts w:ascii="Bookman Old Style" w:hAnsi="Bookman Old Style"/>
          <w:sz w:val="18"/>
          <w:szCs w:val="18"/>
        </w:rPr>
        <w:t xml:space="preserve">ntre 2015 et 2016 en revanche, la métropole de Lyon est intégrée dans le champ des </w:t>
      </w:r>
      <w:r w:rsidR="00B3585C">
        <w:rPr>
          <w:rFonts w:ascii="Bookman Old Style" w:hAnsi="Bookman Old Style"/>
          <w:sz w:val="18"/>
          <w:szCs w:val="18"/>
        </w:rPr>
        <w:t>GFP</w:t>
      </w:r>
      <w:r w:rsidR="00DB2566">
        <w:rPr>
          <w:rFonts w:ascii="Bookman Old Style" w:hAnsi="Bookman Old Style"/>
          <w:sz w:val="18"/>
          <w:szCs w:val="18"/>
        </w:rPr>
        <w:t xml:space="preserve"> sur les deux années.</w:t>
      </w:r>
    </w:p>
    <w:p w:rsidR="00C5701E" w:rsidRDefault="00C5701E" w:rsidP="00C5701E">
      <w:pPr>
        <w:jc w:val="both"/>
        <w:rPr>
          <w:rFonts w:ascii="Bookman Old Style" w:hAnsi="Bookman Old Style"/>
          <w:sz w:val="18"/>
          <w:szCs w:val="18"/>
        </w:rPr>
      </w:pPr>
      <w:r>
        <w:rPr>
          <w:rFonts w:ascii="Bookman Old Style" w:hAnsi="Bookman Old Style"/>
          <w:sz w:val="18"/>
          <w:szCs w:val="18"/>
        </w:rPr>
        <w:t>2) </w:t>
      </w:r>
      <w:r w:rsidR="002E2FDE">
        <w:rPr>
          <w:rFonts w:ascii="Bookman Old Style" w:hAnsi="Bookman Old Style"/>
          <w:sz w:val="18"/>
          <w:szCs w:val="18"/>
        </w:rPr>
        <w:t>Au 1</w:t>
      </w:r>
      <w:r w:rsidR="002E2FDE" w:rsidRPr="002E2FDE">
        <w:rPr>
          <w:rFonts w:ascii="Bookman Old Style" w:hAnsi="Bookman Old Style"/>
          <w:sz w:val="18"/>
          <w:szCs w:val="18"/>
          <w:vertAlign w:val="superscript"/>
        </w:rPr>
        <w:t>er</w:t>
      </w:r>
      <w:r w:rsidR="002E2FDE">
        <w:rPr>
          <w:rFonts w:ascii="Bookman Old Style" w:hAnsi="Bookman Old Style"/>
          <w:sz w:val="18"/>
          <w:szCs w:val="18"/>
        </w:rPr>
        <w:t xml:space="preserve"> janvier</w:t>
      </w:r>
      <w:r w:rsidRPr="006F0513">
        <w:rPr>
          <w:rFonts w:ascii="Bookman Old Style" w:hAnsi="Bookman Old Style"/>
          <w:sz w:val="18"/>
          <w:szCs w:val="18"/>
        </w:rPr>
        <w:t xml:space="preserve"> 2016</w:t>
      </w:r>
      <w:r w:rsidR="002E2FDE">
        <w:rPr>
          <w:rFonts w:ascii="Bookman Old Style" w:hAnsi="Bookman Old Style"/>
          <w:sz w:val="18"/>
          <w:szCs w:val="18"/>
        </w:rPr>
        <w:t>,</w:t>
      </w:r>
      <w:r w:rsidRPr="006F0513">
        <w:rPr>
          <w:rFonts w:ascii="Bookman Old Style" w:hAnsi="Bookman Old Style"/>
          <w:sz w:val="18"/>
          <w:szCs w:val="18"/>
        </w:rPr>
        <w:t xml:space="preserve"> la Martinique et la Guyane </w:t>
      </w:r>
      <w:r w:rsidR="002E2FDE">
        <w:rPr>
          <w:rFonts w:ascii="Bookman Old Style" w:hAnsi="Bookman Old Style"/>
          <w:sz w:val="18"/>
          <w:szCs w:val="18"/>
        </w:rPr>
        <w:t xml:space="preserve">se dotent d’une </w:t>
      </w:r>
      <w:r w:rsidRPr="006F0513">
        <w:rPr>
          <w:rFonts w:ascii="Bookman Old Style" w:hAnsi="Bookman Old Style"/>
          <w:sz w:val="18"/>
          <w:szCs w:val="18"/>
        </w:rPr>
        <w:t>collectivité territoriale unique (CTU)</w:t>
      </w:r>
      <w:r w:rsidR="002E2FDE">
        <w:rPr>
          <w:rFonts w:ascii="Bookman Old Style" w:hAnsi="Bookman Old Style"/>
          <w:sz w:val="18"/>
          <w:szCs w:val="18"/>
        </w:rPr>
        <w:t xml:space="preserve">, dont les </w:t>
      </w:r>
      <w:r>
        <w:rPr>
          <w:rFonts w:ascii="Bookman Old Style" w:hAnsi="Bookman Old Style"/>
          <w:sz w:val="18"/>
          <w:szCs w:val="18"/>
        </w:rPr>
        <w:t>compétences recouvrent celles des régions et des départements. Pour diffuser les résultats de 2016, on choisit d’associer leurs comptes à ceux des régions. Mais, en suivant la même logique que pour la métropole de Lyon en 2015, il faut diffuser des évolutions des comptes des départements et des régions entre 2015 et 2016 à périmètre constant</w:t>
      </w:r>
      <w:r w:rsidR="00F538C2">
        <w:rPr>
          <w:rFonts w:ascii="Bookman Old Style" w:hAnsi="Bookman Old Style"/>
          <w:sz w:val="18"/>
          <w:szCs w:val="18"/>
        </w:rPr>
        <w:t> : on retire donc en 2015 les départements et les régions de Martinique et Guyane, et en 2016 les collectivités territoriales uniques</w:t>
      </w:r>
      <w:r>
        <w:rPr>
          <w:rFonts w:ascii="Bookman Old Style" w:hAnsi="Bookman Old Style"/>
          <w:sz w:val="18"/>
          <w:szCs w:val="18"/>
        </w:rPr>
        <w:t xml:space="preserve">. </w:t>
      </w:r>
      <w:r w:rsidR="00A44065">
        <w:rPr>
          <w:rFonts w:ascii="Bookman Old Style" w:hAnsi="Bookman Old Style"/>
          <w:sz w:val="18"/>
          <w:szCs w:val="18"/>
        </w:rPr>
        <w:t>L</w:t>
      </w:r>
      <w:r>
        <w:rPr>
          <w:rFonts w:ascii="Bookman Old Style" w:hAnsi="Bookman Old Style"/>
          <w:sz w:val="18"/>
          <w:szCs w:val="18"/>
        </w:rPr>
        <w:t>es données de 2016 des trois conseils départementaux, des deux conseils régionaux et des deux CTU sont diffusées séparément.</w:t>
      </w:r>
    </w:p>
    <w:p w:rsidR="003B75AC" w:rsidRDefault="00C5701E" w:rsidP="006C2E6F">
      <w:pPr>
        <w:jc w:val="both"/>
        <w:rPr>
          <w:rFonts w:ascii="Bookman Old Style" w:hAnsi="Bookman Old Style"/>
          <w:sz w:val="18"/>
          <w:szCs w:val="18"/>
        </w:rPr>
      </w:pPr>
      <w:r>
        <w:rPr>
          <w:rFonts w:ascii="Bookman Old Style" w:hAnsi="Bookman Old Style"/>
          <w:sz w:val="18"/>
          <w:szCs w:val="18"/>
        </w:rPr>
        <w:t>3</w:t>
      </w:r>
      <w:r w:rsidR="00F71D57">
        <w:rPr>
          <w:rFonts w:ascii="Bookman Old Style" w:hAnsi="Bookman Old Style"/>
          <w:sz w:val="18"/>
          <w:szCs w:val="18"/>
        </w:rPr>
        <w:t>) </w:t>
      </w:r>
      <w:r w:rsidR="002E2FDE">
        <w:rPr>
          <w:rFonts w:ascii="Bookman Old Style" w:hAnsi="Bookman Old Style"/>
          <w:sz w:val="18"/>
          <w:szCs w:val="18"/>
        </w:rPr>
        <w:t>L</w:t>
      </w:r>
      <w:r w:rsidR="00DB2566">
        <w:rPr>
          <w:rFonts w:ascii="Bookman Old Style" w:hAnsi="Bookman Old Style"/>
          <w:sz w:val="18"/>
          <w:szCs w:val="18"/>
        </w:rPr>
        <w:t xml:space="preserve">a métropole du grand Paris (MGP) </w:t>
      </w:r>
      <w:r w:rsidR="002E2FDE">
        <w:rPr>
          <w:rFonts w:ascii="Bookman Old Style" w:hAnsi="Bookman Old Style"/>
          <w:sz w:val="18"/>
          <w:szCs w:val="18"/>
        </w:rPr>
        <w:t>a été</w:t>
      </w:r>
      <w:r w:rsidR="00DB2566">
        <w:rPr>
          <w:rFonts w:ascii="Bookman Old Style" w:hAnsi="Bookman Old Style"/>
          <w:sz w:val="18"/>
          <w:szCs w:val="18"/>
        </w:rPr>
        <w:t xml:space="preserve"> créée</w:t>
      </w:r>
      <w:r w:rsidR="002E2FDE">
        <w:rPr>
          <w:rFonts w:ascii="Bookman Old Style" w:hAnsi="Bookman Old Style"/>
          <w:sz w:val="18"/>
          <w:szCs w:val="18"/>
        </w:rPr>
        <w:t xml:space="preserve"> au 1</w:t>
      </w:r>
      <w:r w:rsidR="002E2FDE" w:rsidRPr="002E2FDE">
        <w:rPr>
          <w:rFonts w:ascii="Bookman Old Style" w:hAnsi="Bookman Old Style"/>
          <w:sz w:val="18"/>
          <w:szCs w:val="18"/>
          <w:vertAlign w:val="superscript"/>
        </w:rPr>
        <w:t>er</w:t>
      </w:r>
      <w:r w:rsidR="002E2FDE">
        <w:rPr>
          <w:rFonts w:ascii="Bookman Old Style" w:hAnsi="Bookman Old Style"/>
          <w:sz w:val="18"/>
          <w:szCs w:val="18"/>
        </w:rPr>
        <w:t xml:space="preserve"> janvier 2016</w:t>
      </w:r>
      <w:r w:rsidR="00F538C2">
        <w:rPr>
          <w:rFonts w:ascii="Bookman Old Style" w:hAnsi="Bookman Old Style"/>
          <w:sz w:val="18"/>
          <w:szCs w:val="18"/>
        </w:rPr>
        <w:t> ; elle regroupe 131 communes</w:t>
      </w:r>
      <w:r w:rsidR="00DB2566">
        <w:rPr>
          <w:rFonts w:ascii="Bookman Old Style" w:hAnsi="Bookman Old Style"/>
          <w:sz w:val="18"/>
          <w:szCs w:val="18"/>
        </w:rPr>
        <w:t xml:space="preserve">. Les 11 établissements </w:t>
      </w:r>
      <w:r w:rsidR="00120128">
        <w:rPr>
          <w:rFonts w:ascii="Bookman Old Style" w:hAnsi="Bookman Old Style"/>
          <w:sz w:val="18"/>
          <w:szCs w:val="18"/>
        </w:rPr>
        <w:t xml:space="preserve">publics </w:t>
      </w:r>
      <w:r w:rsidR="00DB2566">
        <w:rPr>
          <w:rFonts w:ascii="Bookman Old Style" w:hAnsi="Bookman Old Style"/>
          <w:sz w:val="18"/>
          <w:szCs w:val="18"/>
        </w:rPr>
        <w:t xml:space="preserve">territoriaux (EPT) prennent en 2016 la suite des </w:t>
      </w:r>
      <w:r w:rsidR="00B3585C">
        <w:rPr>
          <w:rFonts w:ascii="Bookman Old Style" w:hAnsi="Bookman Old Style"/>
          <w:sz w:val="18"/>
          <w:szCs w:val="18"/>
        </w:rPr>
        <w:t>GFP</w:t>
      </w:r>
      <w:r w:rsidR="00DB2566">
        <w:rPr>
          <w:rFonts w:ascii="Bookman Old Style" w:hAnsi="Bookman Old Style"/>
          <w:sz w:val="18"/>
          <w:szCs w:val="18"/>
        </w:rPr>
        <w:t xml:space="preserve"> qui </w:t>
      </w:r>
      <w:r w:rsidR="00F538C2">
        <w:rPr>
          <w:rFonts w:ascii="Bookman Old Style" w:hAnsi="Bookman Old Style"/>
          <w:sz w:val="18"/>
          <w:szCs w:val="18"/>
        </w:rPr>
        <w:t xml:space="preserve">existaient </w:t>
      </w:r>
      <w:r w:rsidR="00DB2566">
        <w:rPr>
          <w:rFonts w:ascii="Bookman Old Style" w:hAnsi="Bookman Old Style"/>
          <w:sz w:val="18"/>
          <w:szCs w:val="18"/>
        </w:rPr>
        <w:t xml:space="preserve">en 2015 </w:t>
      </w:r>
      <w:r w:rsidR="00F538C2">
        <w:rPr>
          <w:rFonts w:ascii="Bookman Old Style" w:hAnsi="Bookman Old Style"/>
          <w:sz w:val="18"/>
          <w:szCs w:val="18"/>
        </w:rPr>
        <w:t xml:space="preserve">et intègrent les communes qui étaient jusqu’à présent isolées ; </w:t>
      </w:r>
      <w:r w:rsidR="00CA0096">
        <w:rPr>
          <w:rFonts w:ascii="Bookman Old Style" w:hAnsi="Bookman Old Style"/>
          <w:sz w:val="18"/>
          <w:szCs w:val="18"/>
        </w:rPr>
        <w:t>la situation</w:t>
      </w:r>
      <w:r w:rsidR="00F538C2">
        <w:rPr>
          <w:rFonts w:ascii="Bookman Old Style" w:hAnsi="Bookman Old Style"/>
          <w:sz w:val="18"/>
          <w:szCs w:val="18"/>
        </w:rPr>
        <w:t xml:space="preserve"> de Paris reste particulière </w:t>
      </w:r>
      <w:r w:rsidR="00F538C2">
        <w:rPr>
          <w:rFonts w:ascii="Bookman Old Style" w:hAnsi="Bookman Old Style"/>
          <w:sz w:val="18"/>
          <w:szCs w:val="18"/>
        </w:rPr>
        <w:lastRenderedPageBreak/>
        <w:t>puisque la commune joue le rôle d’EPT</w:t>
      </w:r>
      <w:r w:rsidR="00DB2566">
        <w:rPr>
          <w:rFonts w:ascii="Bookman Old Style" w:hAnsi="Bookman Old Style"/>
          <w:sz w:val="18"/>
          <w:szCs w:val="18"/>
        </w:rPr>
        <w:t xml:space="preserve">. </w:t>
      </w:r>
      <w:r w:rsidR="00CA0096">
        <w:rPr>
          <w:rFonts w:ascii="Bookman Old Style" w:hAnsi="Bookman Old Style"/>
          <w:sz w:val="18"/>
          <w:szCs w:val="18"/>
        </w:rPr>
        <w:t xml:space="preserve">Dans les </w:t>
      </w:r>
      <w:r w:rsidR="00A44065">
        <w:rPr>
          <w:rFonts w:ascii="Bookman Old Style" w:hAnsi="Bookman Old Style"/>
          <w:sz w:val="18"/>
          <w:szCs w:val="18"/>
        </w:rPr>
        <w:t>statistiques</w:t>
      </w:r>
      <w:r w:rsidR="00CA0096">
        <w:rPr>
          <w:rFonts w:ascii="Bookman Old Style" w:hAnsi="Bookman Old Style"/>
          <w:sz w:val="18"/>
          <w:szCs w:val="18"/>
        </w:rPr>
        <w:t xml:space="preserve"> </w:t>
      </w:r>
      <w:r w:rsidR="00A44065">
        <w:rPr>
          <w:rFonts w:ascii="Bookman Old Style" w:hAnsi="Bookman Old Style"/>
          <w:sz w:val="18"/>
          <w:szCs w:val="18"/>
        </w:rPr>
        <w:t>publiées</w:t>
      </w:r>
      <w:r w:rsidR="00CA0096">
        <w:rPr>
          <w:rFonts w:ascii="Bookman Old Style" w:hAnsi="Bookman Old Style"/>
          <w:sz w:val="18"/>
          <w:szCs w:val="18"/>
        </w:rPr>
        <w:t>, la MGP et ses EPT sont intégrés dans les groupements à fiscalité propre, Paris resta</w:t>
      </w:r>
      <w:r w:rsidR="00997F9A">
        <w:rPr>
          <w:rFonts w:ascii="Bookman Old Style" w:hAnsi="Bookman Old Style"/>
          <w:sz w:val="18"/>
          <w:szCs w:val="18"/>
        </w:rPr>
        <w:t xml:space="preserve">nt dans le compte des communes. </w:t>
      </w:r>
      <w:r w:rsidR="00DB2566">
        <w:rPr>
          <w:rFonts w:ascii="Bookman Old Style" w:hAnsi="Bookman Old Style"/>
          <w:sz w:val="18"/>
          <w:szCs w:val="18"/>
        </w:rPr>
        <w:t>D</w:t>
      </w:r>
      <w:r w:rsidR="00290856">
        <w:rPr>
          <w:rFonts w:ascii="Bookman Old Style" w:hAnsi="Bookman Old Style"/>
          <w:sz w:val="18"/>
          <w:szCs w:val="18"/>
        </w:rPr>
        <w:t>e</w:t>
      </w:r>
      <w:r w:rsidR="00DB2566">
        <w:rPr>
          <w:rFonts w:ascii="Bookman Old Style" w:hAnsi="Bookman Old Style"/>
          <w:sz w:val="18"/>
          <w:szCs w:val="18"/>
        </w:rPr>
        <w:t xml:space="preserve">s flux financiers </w:t>
      </w:r>
      <w:r w:rsidR="00B3585C">
        <w:rPr>
          <w:rFonts w:ascii="Bookman Old Style" w:hAnsi="Bookman Old Style"/>
          <w:sz w:val="18"/>
          <w:szCs w:val="18"/>
        </w:rPr>
        <w:t xml:space="preserve">importants </w:t>
      </w:r>
      <w:r w:rsidR="00DB2566">
        <w:rPr>
          <w:rFonts w:ascii="Bookman Old Style" w:hAnsi="Bookman Old Style"/>
          <w:sz w:val="18"/>
          <w:szCs w:val="18"/>
        </w:rPr>
        <w:t>apparaissent alors en 2016 entre les communes</w:t>
      </w:r>
      <w:r w:rsidR="006573BA">
        <w:rPr>
          <w:rFonts w:ascii="Bookman Old Style" w:hAnsi="Bookman Old Style"/>
          <w:sz w:val="18"/>
          <w:szCs w:val="18"/>
        </w:rPr>
        <w:t>,</w:t>
      </w:r>
      <w:r w:rsidR="00DB2566">
        <w:rPr>
          <w:rFonts w:ascii="Bookman Old Style" w:hAnsi="Bookman Old Style"/>
          <w:sz w:val="18"/>
          <w:szCs w:val="18"/>
        </w:rPr>
        <w:t xml:space="preserve"> les EPT et la MGP.</w:t>
      </w:r>
      <w:r w:rsidR="004F172F">
        <w:rPr>
          <w:rFonts w:ascii="Bookman Old Style" w:hAnsi="Bookman Old Style"/>
          <w:sz w:val="18"/>
          <w:szCs w:val="18"/>
        </w:rPr>
        <w:t xml:space="preserve"> Le traitement retenu varie selon les flux.</w:t>
      </w:r>
      <w:r w:rsidR="007A12B1">
        <w:rPr>
          <w:rFonts w:ascii="Bookman Old Style" w:hAnsi="Bookman Old Style"/>
          <w:sz w:val="18"/>
          <w:szCs w:val="18"/>
        </w:rPr>
        <w:t xml:space="preserve"> </w:t>
      </w:r>
    </w:p>
    <w:p w:rsidR="00C40890" w:rsidRDefault="00DA4B1C" w:rsidP="00D879DD">
      <w:pPr>
        <w:jc w:val="both"/>
        <w:rPr>
          <w:rFonts w:ascii="Bookman Old Style" w:hAnsi="Bookman Old Style"/>
          <w:sz w:val="18"/>
          <w:szCs w:val="18"/>
        </w:rPr>
      </w:pPr>
      <w:proofErr w:type="gramStart"/>
      <w:r>
        <w:rPr>
          <w:rFonts w:ascii="Bookman Old Style" w:hAnsi="Bookman Old Style"/>
          <w:sz w:val="18"/>
          <w:szCs w:val="18"/>
        </w:rPr>
        <w:t>a</w:t>
      </w:r>
      <w:r w:rsidR="00C40890">
        <w:rPr>
          <w:rFonts w:ascii="Bookman Old Style" w:hAnsi="Bookman Old Style"/>
          <w:sz w:val="18"/>
          <w:szCs w:val="18"/>
        </w:rPr>
        <w:t> -</w:t>
      </w:r>
      <w:proofErr w:type="gramEnd"/>
      <w:r w:rsidR="00C40890">
        <w:rPr>
          <w:rFonts w:ascii="Bookman Old Style" w:hAnsi="Bookman Old Style"/>
          <w:sz w:val="18"/>
          <w:szCs w:val="18"/>
        </w:rPr>
        <w:t xml:space="preserve"> La loi </w:t>
      </w:r>
      <w:proofErr w:type="spellStart"/>
      <w:r w:rsidR="00C40890">
        <w:rPr>
          <w:rFonts w:ascii="Bookman Old Style" w:hAnsi="Bookman Old Style"/>
          <w:sz w:val="18"/>
          <w:szCs w:val="18"/>
        </w:rPr>
        <w:t>NOTRe</w:t>
      </w:r>
      <w:proofErr w:type="spellEnd"/>
      <w:r w:rsidR="00C40890">
        <w:rPr>
          <w:rFonts w:ascii="Bookman Old Style" w:hAnsi="Bookman Old Style"/>
          <w:sz w:val="18"/>
          <w:szCs w:val="18"/>
        </w:rPr>
        <w:t xml:space="preserve"> garantit aux EPT le même niveau de ressources que les groupements à fiscalité propre préexistants. Selon les cas, c’est la MGP qui verse une dotation d’équilibre aux EPT, ou l’inverse ; les montants en jeu sont de l’ordre d’un milliard d’euros. Les montants sont déclarés en recettes ou moindres recettes par la MGP (comptes </w:t>
      </w:r>
      <w:r w:rsidR="00C40890" w:rsidRPr="0060449A">
        <w:rPr>
          <w:rFonts w:ascii="Bookman Old Style" w:hAnsi="Bookman Old Style"/>
          <w:sz w:val="18"/>
          <w:szCs w:val="18"/>
        </w:rPr>
        <w:t>74861</w:t>
      </w:r>
      <w:r w:rsidR="00C40890">
        <w:rPr>
          <w:rFonts w:ascii="Bookman Old Style" w:hAnsi="Bookman Old Style"/>
          <w:sz w:val="18"/>
          <w:szCs w:val="18"/>
        </w:rPr>
        <w:t xml:space="preserve"> ou 74869 en M57) et par les EPT (comptes 7431 ou </w:t>
      </w:r>
      <w:r w:rsidR="00C40890" w:rsidRPr="0060449A">
        <w:rPr>
          <w:rFonts w:ascii="Bookman Old Style" w:hAnsi="Bookman Old Style"/>
          <w:sz w:val="18"/>
          <w:szCs w:val="18"/>
        </w:rPr>
        <w:t>7439 en M14</w:t>
      </w:r>
      <w:r w:rsidR="00C40890">
        <w:rPr>
          <w:rFonts w:ascii="Bookman Old Style" w:hAnsi="Bookman Old Style"/>
          <w:sz w:val="18"/>
          <w:szCs w:val="18"/>
        </w:rPr>
        <w:t>). Il n’y a donc aucun traitement spécifique à faire puisque ces flux s’annulent au sein du même agrégat (« Autres recettes de fonctionnement ») dans le même niveau de collectivités (les GFP).</w:t>
      </w:r>
    </w:p>
    <w:p w:rsidR="004F172F" w:rsidRDefault="00DA4B1C" w:rsidP="00D879DD">
      <w:pPr>
        <w:jc w:val="both"/>
        <w:rPr>
          <w:rFonts w:ascii="Bookman Old Style" w:hAnsi="Bookman Old Style"/>
          <w:sz w:val="18"/>
          <w:szCs w:val="18"/>
        </w:rPr>
      </w:pPr>
      <w:proofErr w:type="gramStart"/>
      <w:r>
        <w:rPr>
          <w:rFonts w:ascii="Bookman Old Style" w:hAnsi="Bookman Old Style"/>
          <w:sz w:val="18"/>
          <w:szCs w:val="18"/>
        </w:rPr>
        <w:t>b</w:t>
      </w:r>
      <w:proofErr w:type="gramEnd"/>
      <w:r w:rsidR="004F172F">
        <w:rPr>
          <w:rFonts w:ascii="Bookman Old Style" w:hAnsi="Bookman Old Style"/>
          <w:sz w:val="18"/>
          <w:szCs w:val="18"/>
        </w:rPr>
        <w:t> - Une autre conséquence de la création de la MGP en 2016 est</w:t>
      </w:r>
      <w:r w:rsidR="0060449A">
        <w:rPr>
          <w:rFonts w:ascii="Bookman Old Style" w:hAnsi="Bookman Old Style"/>
          <w:sz w:val="18"/>
          <w:szCs w:val="18"/>
        </w:rPr>
        <w:t xml:space="preserve"> la création du</w:t>
      </w:r>
      <w:r w:rsidR="004F172F">
        <w:rPr>
          <w:rFonts w:ascii="Bookman Old Style" w:hAnsi="Bookman Old Style"/>
          <w:sz w:val="18"/>
          <w:szCs w:val="18"/>
        </w:rPr>
        <w:t xml:space="preserve"> fonds de compensation des charges territoriales » (FCCT</w:t>
      </w:r>
      <w:r w:rsidR="0060449A">
        <w:rPr>
          <w:rFonts w:ascii="Bookman Old Style" w:hAnsi="Bookman Old Style"/>
          <w:sz w:val="18"/>
          <w:szCs w:val="18"/>
        </w:rPr>
        <w:t>)</w:t>
      </w:r>
      <w:r w:rsidR="00D879DD">
        <w:rPr>
          <w:rFonts w:ascii="Bookman Old Style" w:hAnsi="Bookman Old Style"/>
          <w:sz w:val="18"/>
          <w:szCs w:val="18"/>
        </w:rPr>
        <w:t>,</w:t>
      </w:r>
      <w:r w:rsidR="0060449A">
        <w:rPr>
          <w:rFonts w:ascii="Bookman Old Style" w:hAnsi="Bookman Old Style"/>
          <w:sz w:val="18"/>
          <w:szCs w:val="18"/>
        </w:rPr>
        <w:t xml:space="preserve"> </w:t>
      </w:r>
      <w:r w:rsidR="00D879DD">
        <w:rPr>
          <w:rFonts w:ascii="Bookman Old Style" w:hAnsi="Bookman Old Style"/>
          <w:sz w:val="18"/>
          <w:szCs w:val="18"/>
        </w:rPr>
        <w:t>p</w:t>
      </w:r>
      <w:r w:rsidR="004F172F">
        <w:rPr>
          <w:rFonts w:ascii="Bookman Old Style" w:hAnsi="Bookman Old Style"/>
          <w:sz w:val="18"/>
          <w:szCs w:val="18"/>
        </w:rPr>
        <w:t>our compenser le fait que les communes perçoivent aujourd’hui des recettes fiscales qui étaient auparavant perçues par les GFP</w:t>
      </w:r>
      <w:r w:rsidR="00C40890">
        <w:rPr>
          <w:rFonts w:ascii="Bookman Old Style" w:hAnsi="Bookman Old Style"/>
          <w:sz w:val="18"/>
          <w:szCs w:val="18"/>
        </w:rPr>
        <w:t xml:space="preserve">. </w:t>
      </w:r>
      <w:r w:rsidR="009C7C03">
        <w:rPr>
          <w:rFonts w:ascii="Bookman Old Style" w:hAnsi="Bookman Old Style"/>
          <w:sz w:val="18"/>
          <w:szCs w:val="18"/>
        </w:rPr>
        <w:t>Compte tenu de la nature comptable des opérations, l</w:t>
      </w:r>
      <w:r w:rsidR="00521D46">
        <w:rPr>
          <w:rFonts w:ascii="Bookman Old Style" w:hAnsi="Bookman Old Style"/>
          <w:sz w:val="18"/>
          <w:szCs w:val="18"/>
        </w:rPr>
        <w:t>e</w:t>
      </w:r>
      <w:r w:rsidR="00C40890">
        <w:rPr>
          <w:rFonts w:ascii="Bookman Old Style" w:hAnsi="Bookman Old Style"/>
          <w:sz w:val="18"/>
          <w:szCs w:val="18"/>
        </w:rPr>
        <w:t xml:space="preserve"> </w:t>
      </w:r>
      <w:r w:rsidR="00771293">
        <w:rPr>
          <w:rFonts w:ascii="Bookman Old Style" w:hAnsi="Bookman Old Style"/>
          <w:sz w:val="18"/>
          <w:szCs w:val="18"/>
        </w:rPr>
        <w:t xml:space="preserve">versement </w:t>
      </w:r>
      <w:r w:rsidR="00C40890">
        <w:rPr>
          <w:rFonts w:ascii="Bookman Old Style" w:hAnsi="Bookman Old Style"/>
          <w:sz w:val="18"/>
          <w:szCs w:val="18"/>
        </w:rPr>
        <w:t xml:space="preserve"> des communes est enregistrée dans leur compte 655 41 en M14,</w:t>
      </w:r>
      <w:r w:rsidR="00771293">
        <w:rPr>
          <w:rFonts w:ascii="Bookman Old Style" w:hAnsi="Bookman Old Style"/>
          <w:sz w:val="18"/>
          <w:szCs w:val="18"/>
        </w:rPr>
        <w:t xml:space="preserve"> comme une contribution,</w:t>
      </w:r>
      <w:r w:rsidR="00C40890">
        <w:rPr>
          <w:rFonts w:ascii="Bookman Old Style" w:hAnsi="Bookman Old Style"/>
          <w:sz w:val="18"/>
          <w:szCs w:val="18"/>
        </w:rPr>
        <w:t xml:space="preserve"> et en </w:t>
      </w:r>
      <w:r w:rsidR="004F172F">
        <w:rPr>
          <w:rFonts w:ascii="Bookman Old Style" w:hAnsi="Bookman Old Style"/>
          <w:sz w:val="18"/>
          <w:szCs w:val="18"/>
        </w:rPr>
        <w:t>recettes des GFP (en compte 747 52). Ce flux, de l’ordre d’un milliard d’euros, perturbe</w:t>
      </w:r>
      <w:r w:rsidR="00C40890">
        <w:rPr>
          <w:rFonts w:ascii="Bookman Old Style" w:hAnsi="Bookman Old Style"/>
          <w:sz w:val="18"/>
          <w:szCs w:val="18"/>
        </w:rPr>
        <w:t>rait</w:t>
      </w:r>
      <w:r w:rsidR="004F172F">
        <w:rPr>
          <w:rFonts w:ascii="Bookman Old Style" w:hAnsi="Bookman Old Style"/>
          <w:sz w:val="18"/>
          <w:szCs w:val="18"/>
        </w:rPr>
        <w:t xml:space="preserve"> l’analyse </w:t>
      </w:r>
      <w:r w:rsidR="00C40890">
        <w:rPr>
          <w:rFonts w:ascii="Bookman Old Style" w:hAnsi="Bookman Old Style"/>
          <w:sz w:val="18"/>
          <w:szCs w:val="18"/>
        </w:rPr>
        <w:t xml:space="preserve">de l’évolution </w:t>
      </w:r>
      <w:r w:rsidR="004F172F">
        <w:rPr>
          <w:rFonts w:ascii="Bookman Old Style" w:hAnsi="Bookman Old Style"/>
          <w:sz w:val="18"/>
          <w:szCs w:val="18"/>
        </w:rPr>
        <w:t xml:space="preserve">des comptes </w:t>
      </w:r>
      <w:r w:rsidR="00C40890">
        <w:rPr>
          <w:rFonts w:ascii="Bookman Old Style" w:hAnsi="Bookman Old Style"/>
          <w:sz w:val="18"/>
          <w:szCs w:val="18"/>
        </w:rPr>
        <w:t>si l’on considérait la contribution des communes comme une subvention versée, puisque cela augmenterait artificiellement leurs dépenses</w:t>
      </w:r>
      <w:r>
        <w:rPr>
          <w:rFonts w:ascii="Bookman Old Style" w:hAnsi="Bookman Old Style"/>
          <w:sz w:val="18"/>
          <w:szCs w:val="18"/>
        </w:rPr>
        <w:t> ; ce flux perturberait également les comparaisons entre communes, notamment par taille puisque ce flux concerne surtout des communes de plus de 20 000 habitants</w:t>
      </w:r>
      <w:r w:rsidR="00C40890">
        <w:rPr>
          <w:rFonts w:ascii="Bookman Old Style" w:hAnsi="Bookman Old Style"/>
          <w:sz w:val="18"/>
          <w:szCs w:val="18"/>
        </w:rPr>
        <w:t xml:space="preserve">. </w:t>
      </w:r>
      <w:r w:rsidR="004F172F">
        <w:rPr>
          <w:rFonts w:ascii="Bookman Old Style" w:hAnsi="Bookman Old Style"/>
          <w:sz w:val="18"/>
          <w:szCs w:val="18"/>
        </w:rPr>
        <w:t xml:space="preserve">Pour </w:t>
      </w:r>
      <w:r w:rsidR="00C40890">
        <w:rPr>
          <w:rFonts w:ascii="Bookman Old Style" w:hAnsi="Bookman Old Style"/>
          <w:sz w:val="18"/>
          <w:szCs w:val="18"/>
        </w:rPr>
        <w:t xml:space="preserve">pouvoir mieux interpréter les comptes des communes, </w:t>
      </w:r>
      <w:r w:rsidR="007A12B1">
        <w:rPr>
          <w:rFonts w:ascii="Bookman Old Style" w:hAnsi="Bookman Old Style"/>
          <w:sz w:val="18"/>
          <w:szCs w:val="18"/>
        </w:rPr>
        <w:t xml:space="preserve">on décide donc dans ce rapport de </w:t>
      </w:r>
      <w:r w:rsidR="005E1BC5">
        <w:rPr>
          <w:rFonts w:ascii="Bookman Old Style" w:hAnsi="Bookman Old Style"/>
          <w:sz w:val="18"/>
          <w:szCs w:val="18"/>
        </w:rPr>
        <w:t xml:space="preserve">neutraliser </w:t>
      </w:r>
      <w:r w:rsidR="007A12B1">
        <w:rPr>
          <w:rFonts w:ascii="Bookman Old Style" w:hAnsi="Bookman Old Style"/>
          <w:sz w:val="18"/>
          <w:szCs w:val="18"/>
        </w:rPr>
        <w:t xml:space="preserve">la contribution des communes au FCCT </w:t>
      </w:r>
      <w:r w:rsidR="0037745D">
        <w:rPr>
          <w:rFonts w:ascii="Bookman Old Style" w:hAnsi="Bookman Old Style"/>
          <w:sz w:val="18"/>
          <w:szCs w:val="18"/>
        </w:rPr>
        <w:t xml:space="preserve">en ne la considérant pas comme une dépense, mais en la déduisant des </w:t>
      </w:r>
      <w:r w:rsidR="004F172F">
        <w:rPr>
          <w:rFonts w:ascii="Bookman Old Style" w:hAnsi="Bookman Old Style"/>
          <w:sz w:val="18"/>
          <w:szCs w:val="18"/>
        </w:rPr>
        <w:t>recettes</w:t>
      </w:r>
      <w:r w:rsidR="0037745D">
        <w:rPr>
          <w:rFonts w:ascii="Bookman Old Style" w:hAnsi="Bookman Old Style"/>
          <w:sz w:val="18"/>
          <w:szCs w:val="18"/>
        </w:rPr>
        <w:t xml:space="preserve"> fiscales</w:t>
      </w:r>
      <w:r w:rsidR="005E1BC5">
        <w:rPr>
          <w:rFonts w:ascii="Bookman Old Style" w:hAnsi="Bookman Old Style"/>
          <w:sz w:val="18"/>
          <w:szCs w:val="18"/>
        </w:rPr>
        <w:t xml:space="preserve"> </w:t>
      </w:r>
      <w:r w:rsidR="0037745D">
        <w:rPr>
          <w:rFonts w:ascii="Bookman Old Style" w:hAnsi="Bookman Old Style"/>
          <w:sz w:val="18"/>
          <w:szCs w:val="18"/>
        </w:rPr>
        <w:t>des</w:t>
      </w:r>
      <w:r w:rsidR="005E1BC5">
        <w:rPr>
          <w:rFonts w:ascii="Bookman Old Style" w:hAnsi="Bookman Old Style"/>
          <w:sz w:val="18"/>
          <w:szCs w:val="18"/>
        </w:rPr>
        <w:t xml:space="preserve"> </w:t>
      </w:r>
      <w:r w:rsidR="004F172F">
        <w:rPr>
          <w:rFonts w:ascii="Bookman Old Style" w:hAnsi="Bookman Old Style"/>
          <w:sz w:val="18"/>
          <w:szCs w:val="18"/>
        </w:rPr>
        <w:t xml:space="preserve">communes ; </w:t>
      </w:r>
      <w:r w:rsidR="007A12B1">
        <w:rPr>
          <w:rFonts w:ascii="Bookman Old Style" w:hAnsi="Bookman Old Style"/>
          <w:sz w:val="18"/>
          <w:szCs w:val="18"/>
        </w:rPr>
        <w:t>dans le compte d</w:t>
      </w:r>
      <w:r w:rsidR="004F172F">
        <w:rPr>
          <w:rFonts w:ascii="Bookman Old Style" w:hAnsi="Bookman Old Style"/>
          <w:sz w:val="18"/>
          <w:szCs w:val="18"/>
        </w:rPr>
        <w:t xml:space="preserve">es GFP, on </w:t>
      </w:r>
      <w:r w:rsidR="007A12B1">
        <w:rPr>
          <w:rFonts w:ascii="Bookman Old Style" w:hAnsi="Bookman Old Style"/>
          <w:sz w:val="18"/>
          <w:szCs w:val="18"/>
        </w:rPr>
        <w:t xml:space="preserve">intègre symétriquement </w:t>
      </w:r>
      <w:r w:rsidR="004F172F">
        <w:rPr>
          <w:rFonts w:ascii="Bookman Old Style" w:hAnsi="Bookman Old Style"/>
          <w:sz w:val="18"/>
          <w:szCs w:val="18"/>
        </w:rPr>
        <w:t>ces recettes</w:t>
      </w:r>
      <w:r w:rsidR="009C7C03">
        <w:rPr>
          <w:rFonts w:ascii="Bookman Old Style" w:hAnsi="Bookman Old Style"/>
          <w:sz w:val="18"/>
          <w:szCs w:val="18"/>
        </w:rPr>
        <w:t xml:space="preserve">  perçues par les GFP</w:t>
      </w:r>
      <w:r w:rsidR="004F172F">
        <w:rPr>
          <w:rFonts w:ascii="Bookman Old Style" w:hAnsi="Bookman Old Style"/>
          <w:sz w:val="18"/>
          <w:szCs w:val="18"/>
        </w:rPr>
        <w:t xml:space="preserve"> </w:t>
      </w:r>
      <w:r w:rsidR="0037745D">
        <w:rPr>
          <w:rFonts w:ascii="Bookman Old Style" w:hAnsi="Bookman Old Style"/>
          <w:sz w:val="18"/>
          <w:szCs w:val="18"/>
        </w:rPr>
        <w:t xml:space="preserve">non pas dans les subventions reçues, mais </w:t>
      </w:r>
      <w:r w:rsidR="007A12B1">
        <w:rPr>
          <w:rFonts w:ascii="Bookman Old Style" w:hAnsi="Bookman Old Style"/>
          <w:sz w:val="18"/>
          <w:szCs w:val="18"/>
        </w:rPr>
        <w:t xml:space="preserve">dans </w:t>
      </w:r>
      <w:r w:rsidR="00E747E8">
        <w:rPr>
          <w:rFonts w:ascii="Bookman Old Style" w:hAnsi="Bookman Old Style"/>
          <w:sz w:val="18"/>
          <w:szCs w:val="18"/>
        </w:rPr>
        <w:t>l’agrégat «</w:t>
      </w:r>
      <w:r w:rsidR="0037745D">
        <w:rPr>
          <w:rFonts w:ascii="Bookman Old Style" w:hAnsi="Bookman Old Style"/>
          <w:sz w:val="18"/>
          <w:szCs w:val="18"/>
        </w:rPr>
        <w:t> </w:t>
      </w:r>
      <w:r w:rsidR="009C7C03">
        <w:rPr>
          <w:rFonts w:ascii="Bookman Old Style" w:hAnsi="Bookman Old Style"/>
          <w:sz w:val="18"/>
          <w:szCs w:val="18"/>
        </w:rPr>
        <w:t>fiscalité reversée</w:t>
      </w:r>
      <w:r w:rsidR="0037745D">
        <w:rPr>
          <w:rFonts w:ascii="Bookman Old Style" w:hAnsi="Bookman Old Style"/>
          <w:sz w:val="18"/>
          <w:szCs w:val="18"/>
        </w:rPr>
        <w:t> </w:t>
      </w:r>
      <w:r w:rsidR="00E747E8">
        <w:rPr>
          <w:rFonts w:ascii="Bookman Old Style" w:hAnsi="Bookman Old Style"/>
          <w:sz w:val="18"/>
          <w:szCs w:val="18"/>
        </w:rPr>
        <w:t>»</w:t>
      </w:r>
      <w:r w:rsidR="009C7C03">
        <w:rPr>
          <w:rFonts w:ascii="Bookman Old Style" w:hAnsi="Bookman Old Style"/>
          <w:sz w:val="18"/>
          <w:szCs w:val="18"/>
        </w:rPr>
        <w:t xml:space="preserve"> </w:t>
      </w:r>
      <w:r w:rsidR="00D879DD">
        <w:rPr>
          <w:rFonts w:ascii="Bookman Old Style" w:hAnsi="Bookman Old Style"/>
          <w:sz w:val="18"/>
          <w:szCs w:val="18"/>
        </w:rPr>
        <w:t>afin de privilégier</w:t>
      </w:r>
      <w:r w:rsidR="00771293">
        <w:rPr>
          <w:rFonts w:ascii="Bookman Old Style" w:hAnsi="Bookman Old Style"/>
          <w:sz w:val="18"/>
          <w:szCs w:val="18"/>
        </w:rPr>
        <w:t xml:space="preserve"> une approche économique</w:t>
      </w:r>
      <w:r w:rsidR="00D879DD">
        <w:rPr>
          <w:rFonts w:ascii="Bookman Old Style" w:hAnsi="Bookman Old Style"/>
          <w:sz w:val="18"/>
          <w:szCs w:val="18"/>
        </w:rPr>
        <w:t xml:space="preserve"> plutôt que strictement comptable.</w:t>
      </w:r>
      <w:r w:rsidR="00E747E8">
        <w:rPr>
          <w:rFonts w:ascii="Bookman Old Style" w:hAnsi="Bookman Old Style"/>
          <w:sz w:val="18"/>
          <w:szCs w:val="18"/>
        </w:rPr>
        <w:t xml:space="preserve"> </w:t>
      </w:r>
      <w:r w:rsidR="004F172F">
        <w:rPr>
          <w:rFonts w:ascii="Bookman Old Style" w:hAnsi="Bookman Old Style"/>
          <w:sz w:val="18"/>
          <w:szCs w:val="18"/>
        </w:rPr>
        <w:t>Les nouvelles spécifications des agrégats comptables décrites dans le tableau page suivante précisent ces traitements.</w:t>
      </w:r>
    </w:p>
    <w:p w:rsidR="00997F9A" w:rsidRDefault="009462BF" w:rsidP="00D879DD">
      <w:pPr>
        <w:spacing w:after="0"/>
        <w:jc w:val="both"/>
        <w:rPr>
          <w:rFonts w:ascii="Bookman Old Style" w:hAnsi="Bookman Old Style"/>
          <w:sz w:val="18"/>
          <w:szCs w:val="18"/>
        </w:rPr>
      </w:pPr>
      <w:r>
        <w:rPr>
          <w:rFonts w:ascii="Bookman Old Style" w:hAnsi="Bookman Old Style"/>
          <w:sz w:val="18"/>
          <w:szCs w:val="18"/>
        </w:rPr>
        <w:t>c -</w:t>
      </w:r>
      <w:r w:rsidR="00C5701E">
        <w:rPr>
          <w:rFonts w:ascii="Bookman Old Style" w:hAnsi="Bookman Old Style"/>
          <w:sz w:val="18"/>
          <w:szCs w:val="18"/>
        </w:rPr>
        <w:t> </w:t>
      </w:r>
      <w:r w:rsidR="00997F9A">
        <w:rPr>
          <w:rFonts w:ascii="Bookman Old Style" w:hAnsi="Bookman Old Style"/>
          <w:sz w:val="18"/>
          <w:szCs w:val="18"/>
        </w:rPr>
        <w:t xml:space="preserve">Enfin, d’autres flux apparaissent du fait que la MGP perçoit des ressources (DGF, impôts économiques) qui étaient perçues en 2015 par les GFP préexistants ou par les </w:t>
      </w:r>
      <w:proofErr w:type="gramStart"/>
      <w:r w:rsidR="00997F9A">
        <w:rPr>
          <w:rFonts w:ascii="Bookman Old Style" w:hAnsi="Bookman Old Style"/>
          <w:sz w:val="18"/>
          <w:szCs w:val="18"/>
        </w:rPr>
        <w:t>communes</w:t>
      </w:r>
      <w:proofErr w:type="gramEnd"/>
      <w:r w:rsidR="00997F9A">
        <w:rPr>
          <w:rFonts w:ascii="Bookman Old Style" w:hAnsi="Bookman Old Style"/>
          <w:sz w:val="18"/>
          <w:szCs w:val="18"/>
        </w:rPr>
        <w:t xml:space="preserve"> membres, et que, pour l’essentiel, la MGP reverse en 2016</w:t>
      </w:r>
      <w:r w:rsidR="00AD22E7">
        <w:rPr>
          <w:rFonts w:ascii="Bookman Old Style" w:hAnsi="Bookman Old Style"/>
          <w:sz w:val="18"/>
          <w:szCs w:val="18"/>
        </w:rPr>
        <w:t xml:space="preserve"> aux communes</w:t>
      </w:r>
      <w:r w:rsidR="00997F9A">
        <w:rPr>
          <w:rFonts w:ascii="Bookman Old Style" w:hAnsi="Bookman Old Style"/>
          <w:sz w:val="18"/>
          <w:szCs w:val="18"/>
        </w:rPr>
        <w:t xml:space="preserve">. </w:t>
      </w:r>
    </w:p>
    <w:p w:rsidR="006602F9" w:rsidRDefault="00290856" w:rsidP="00D879DD">
      <w:pPr>
        <w:spacing w:after="0"/>
        <w:jc w:val="both"/>
        <w:rPr>
          <w:rFonts w:ascii="Bookman Old Style" w:hAnsi="Bookman Old Style"/>
          <w:sz w:val="18"/>
          <w:szCs w:val="18"/>
        </w:rPr>
      </w:pPr>
      <w:r>
        <w:rPr>
          <w:rFonts w:ascii="Bookman Old Style" w:hAnsi="Bookman Old Style"/>
          <w:sz w:val="18"/>
          <w:szCs w:val="18"/>
        </w:rPr>
        <w:t xml:space="preserve">Ces flux n’affectent </w:t>
      </w:r>
      <w:r w:rsidR="003B75AC">
        <w:rPr>
          <w:rFonts w:ascii="Bookman Old Style" w:hAnsi="Bookman Old Style"/>
          <w:sz w:val="18"/>
          <w:szCs w:val="18"/>
        </w:rPr>
        <w:t>toutefois que quelques</w:t>
      </w:r>
      <w:r>
        <w:rPr>
          <w:rFonts w:ascii="Bookman Old Style" w:hAnsi="Bookman Old Style"/>
          <w:sz w:val="18"/>
          <w:szCs w:val="18"/>
        </w:rPr>
        <w:t xml:space="preserve"> agrégats comptables</w:t>
      </w:r>
      <w:r w:rsidR="006602F9">
        <w:rPr>
          <w:rFonts w:ascii="Bookman Old Style" w:hAnsi="Bookman Old Style"/>
          <w:sz w:val="18"/>
          <w:szCs w:val="18"/>
        </w:rPr>
        <w:t xml:space="preserve"> au sein des recettes de fonctionnement</w:t>
      </w:r>
      <w:r w:rsidR="00B3585C">
        <w:rPr>
          <w:rFonts w:ascii="Bookman Old Style" w:hAnsi="Bookman Old Style"/>
          <w:sz w:val="18"/>
          <w:szCs w:val="18"/>
        </w:rPr>
        <w:t> : la fiscalité reversée reçue par les communes, les impôts locaux, la DGF</w:t>
      </w:r>
      <w:r w:rsidR="00D96BFB">
        <w:rPr>
          <w:rFonts w:ascii="Bookman Old Style" w:hAnsi="Bookman Old Style"/>
          <w:sz w:val="18"/>
          <w:szCs w:val="18"/>
        </w:rPr>
        <w:t>, et</w:t>
      </w:r>
      <w:r w:rsidR="00D96BFB" w:rsidRPr="00D96BFB">
        <w:rPr>
          <w:rFonts w:ascii="Bookman Old Style" w:hAnsi="Bookman Old Style"/>
          <w:sz w:val="18"/>
          <w:szCs w:val="18"/>
        </w:rPr>
        <w:t xml:space="preserve"> </w:t>
      </w:r>
      <w:r w:rsidR="00D96BFB">
        <w:rPr>
          <w:rFonts w:ascii="Bookman Old Style" w:hAnsi="Bookman Old Style"/>
          <w:sz w:val="18"/>
          <w:szCs w:val="18"/>
        </w:rPr>
        <w:t xml:space="preserve">par répercussion au niveau supérieur d’agrégation, les postes « Concours de l’État », et « Impôts et taxes ». </w:t>
      </w:r>
      <w:r w:rsidR="006602F9">
        <w:rPr>
          <w:rFonts w:ascii="Bookman Old Style" w:hAnsi="Bookman Old Style"/>
          <w:sz w:val="18"/>
          <w:szCs w:val="18"/>
        </w:rPr>
        <w:t xml:space="preserve">Pour apprécier les évolutions de ces agrégats entre 2015 et 2016, il convient donc là encore </w:t>
      </w:r>
      <w:r w:rsidR="00D879DD">
        <w:rPr>
          <w:rFonts w:ascii="Bookman Old Style" w:hAnsi="Bookman Old Style"/>
          <w:sz w:val="18"/>
          <w:szCs w:val="18"/>
        </w:rPr>
        <w:t xml:space="preserve">de </w:t>
      </w:r>
      <w:r w:rsidR="006602F9">
        <w:rPr>
          <w:rFonts w:ascii="Bookman Old Style" w:hAnsi="Bookman Old Style"/>
          <w:sz w:val="18"/>
          <w:szCs w:val="18"/>
        </w:rPr>
        <w:t>raisonner à périmètre géographique constant (comme cela a été décrit précédemment pour la métropole de Lyon ou les collectivités uniques de Martinique et Guyane), c'est-à-dire soustraire de l’analyse en 2015 et en 2016 les</w:t>
      </w:r>
      <w:r w:rsidR="002A156B">
        <w:rPr>
          <w:rFonts w:ascii="Bookman Old Style" w:hAnsi="Bookman Old Style"/>
          <w:sz w:val="18"/>
          <w:szCs w:val="18"/>
        </w:rPr>
        <w:t xml:space="preserve"> 131</w:t>
      </w:r>
      <w:r w:rsidR="006602F9">
        <w:rPr>
          <w:rFonts w:ascii="Bookman Old Style" w:hAnsi="Bookman Old Style"/>
          <w:sz w:val="18"/>
          <w:szCs w:val="18"/>
        </w:rPr>
        <w:t xml:space="preserve"> communes et tous les EPCI touchés directement ou indirectement en 2016 par la création de la MGP.</w:t>
      </w:r>
    </w:p>
    <w:p w:rsidR="00C5701E" w:rsidRPr="006F0513" w:rsidRDefault="00D96BFB" w:rsidP="00D879DD">
      <w:pPr>
        <w:jc w:val="both"/>
        <w:rPr>
          <w:rFonts w:ascii="Bookman Old Style" w:hAnsi="Bookman Old Style"/>
          <w:sz w:val="18"/>
          <w:szCs w:val="18"/>
        </w:rPr>
      </w:pPr>
      <w:r>
        <w:rPr>
          <w:rFonts w:ascii="Bookman Old Style" w:hAnsi="Bookman Old Style"/>
          <w:sz w:val="18"/>
          <w:szCs w:val="18"/>
        </w:rPr>
        <w:t xml:space="preserve">L’ensemble des recettes de fonctionnement n’est en revanche pas affecté, les flux se compensant à l’intérieur de </w:t>
      </w:r>
      <w:r w:rsidR="006602F9">
        <w:rPr>
          <w:rFonts w:ascii="Bookman Old Style" w:hAnsi="Bookman Old Style"/>
          <w:sz w:val="18"/>
          <w:szCs w:val="18"/>
        </w:rPr>
        <w:t xml:space="preserve">cet </w:t>
      </w:r>
      <w:r>
        <w:rPr>
          <w:rFonts w:ascii="Bookman Old Style" w:hAnsi="Bookman Old Style"/>
          <w:sz w:val="18"/>
          <w:szCs w:val="18"/>
        </w:rPr>
        <w:t>ensemble pour chaque niveau de collectivité.</w:t>
      </w:r>
      <w:r w:rsidR="00290856">
        <w:rPr>
          <w:rFonts w:ascii="Bookman Old Style" w:hAnsi="Bookman Old Style"/>
          <w:sz w:val="18"/>
          <w:szCs w:val="18"/>
        </w:rPr>
        <w:t xml:space="preserve"> </w:t>
      </w:r>
      <w:r w:rsidR="006602F9">
        <w:rPr>
          <w:rFonts w:ascii="Bookman Old Style" w:hAnsi="Bookman Old Style"/>
          <w:sz w:val="18"/>
          <w:szCs w:val="18"/>
        </w:rPr>
        <w:t xml:space="preserve">Pour les postes qui ne sont pas affectés, il n’est pas nécessaire </w:t>
      </w:r>
      <w:r w:rsidR="00290856">
        <w:rPr>
          <w:rFonts w:ascii="Bookman Old Style" w:hAnsi="Bookman Old Style"/>
          <w:sz w:val="18"/>
          <w:szCs w:val="18"/>
        </w:rPr>
        <w:t xml:space="preserve">de présenter </w:t>
      </w:r>
      <w:r w:rsidR="006602F9">
        <w:rPr>
          <w:rFonts w:ascii="Bookman Old Style" w:hAnsi="Bookman Old Style"/>
          <w:sz w:val="18"/>
          <w:szCs w:val="18"/>
        </w:rPr>
        <w:t xml:space="preserve">des évolutions </w:t>
      </w:r>
      <w:r w:rsidR="00290856">
        <w:rPr>
          <w:rFonts w:ascii="Bookman Old Style" w:hAnsi="Bookman Old Style"/>
          <w:sz w:val="18"/>
          <w:szCs w:val="18"/>
        </w:rPr>
        <w:t xml:space="preserve">« à périmètre constant, hors contour de la MGP ». Nous présentons </w:t>
      </w:r>
      <w:r w:rsidR="006602F9">
        <w:rPr>
          <w:rFonts w:ascii="Bookman Old Style" w:hAnsi="Bookman Old Style"/>
          <w:sz w:val="18"/>
          <w:szCs w:val="18"/>
        </w:rPr>
        <w:t xml:space="preserve">donc </w:t>
      </w:r>
      <w:r w:rsidR="00290856">
        <w:rPr>
          <w:rFonts w:ascii="Bookman Old Style" w:hAnsi="Bookman Old Style"/>
          <w:sz w:val="18"/>
          <w:szCs w:val="18"/>
        </w:rPr>
        <w:t xml:space="preserve">les évolutions « hors contour de la MGP » seulement pour les agrégats </w:t>
      </w:r>
      <w:r w:rsidR="00CE475B">
        <w:rPr>
          <w:rFonts w:ascii="Bookman Old Style" w:hAnsi="Bookman Old Style"/>
          <w:sz w:val="18"/>
          <w:szCs w:val="18"/>
        </w:rPr>
        <w:t xml:space="preserve">cités ci-dessus, </w:t>
      </w:r>
      <w:r w:rsidR="00C51144">
        <w:rPr>
          <w:rFonts w:ascii="Bookman Old Style" w:hAnsi="Bookman Old Style"/>
          <w:sz w:val="18"/>
          <w:szCs w:val="18"/>
        </w:rPr>
        <w:t>q</w:t>
      </w:r>
      <w:r w:rsidR="00290856">
        <w:rPr>
          <w:rFonts w:ascii="Bookman Old Style" w:hAnsi="Bookman Old Style"/>
          <w:sz w:val="18"/>
          <w:szCs w:val="18"/>
        </w:rPr>
        <w:t>ui sont touchés par ces flux</w:t>
      </w:r>
      <w:r w:rsidR="00C51144">
        <w:rPr>
          <w:rFonts w:ascii="Bookman Old Style" w:hAnsi="Bookman Old Style"/>
          <w:sz w:val="18"/>
          <w:szCs w:val="18"/>
        </w:rPr>
        <w:t xml:space="preserve">. </w:t>
      </w:r>
    </w:p>
    <w:p w:rsidR="003270DE" w:rsidRDefault="003270DE" w:rsidP="00C0160D">
      <w:pPr>
        <w:jc w:val="both"/>
        <w:rPr>
          <w:rFonts w:ascii="Bookman Old Style" w:hAnsi="Bookman Old Style"/>
          <w:sz w:val="20"/>
          <w:szCs w:val="20"/>
        </w:rPr>
      </w:pPr>
    </w:p>
    <w:p w:rsidR="00DB3F9F" w:rsidRDefault="00DB3F9F" w:rsidP="00C0160D">
      <w:pPr>
        <w:jc w:val="both"/>
        <w:rPr>
          <w:rFonts w:ascii="Bookman Old Style" w:hAnsi="Bookman Old Style"/>
          <w:sz w:val="20"/>
          <w:szCs w:val="20"/>
        </w:rPr>
        <w:sectPr w:rsidR="00DB3F9F" w:rsidSect="00956E5C">
          <w:pgSz w:w="11906" w:h="16838"/>
          <w:pgMar w:top="1134" w:right="1418" w:bottom="1418" w:left="1134" w:header="709" w:footer="709" w:gutter="0"/>
          <w:pgNumType w:start="66"/>
          <w:cols w:space="708"/>
          <w:docGrid w:linePitch="360"/>
        </w:sectPr>
      </w:pPr>
    </w:p>
    <w:p w:rsidR="00DB3F9F" w:rsidRDefault="00DB3F9F" w:rsidP="00C0160D">
      <w:pPr>
        <w:jc w:val="both"/>
        <w:rPr>
          <w:rFonts w:ascii="Bookman Old Style" w:hAnsi="Bookman Old Style"/>
          <w:sz w:val="20"/>
          <w:szCs w:val="20"/>
        </w:rPr>
        <w:sectPr w:rsidR="00DB3F9F" w:rsidSect="00DB3F9F">
          <w:pgSz w:w="23814" w:h="16839" w:orient="landscape" w:code="8"/>
          <w:pgMar w:top="567" w:right="567" w:bottom="567" w:left="567" w:header="709" w:footer="709" w:gutter="0"/>
          <w:pgNumType w:start="66"/>
          <w:cols w:space="708"/>
          <w:docGrid w:linePitch="360"/>
        </w:sectPr>
      </w:pPr>
      <w:r w:rsidRPr="00DB3F9F">
        <w:rPr>
          <w:noProof/>
          <w:szCs w:val="20"/>
          <w:lang w:eastAsia="fr-FR"/>
        </w:rPr>
        <w:lastRenderedPageBreak/>
        <w:drawing>
          <wp:inline distT="0" distB="0" distL="0" distR="0">
            <wp:extent cx="14373315" cy="9568281"/>
            <wp:effectExtent l="19050" t="0" r="94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383012" cy="9574736"/>
                    </a:xfrm>
                    <a:prstGeom prst="rect">
                      <a:avLst/>
                    </a:prstGeom>
                    <a:noFill/>
                    <a:ln w="9525">
                      <a:noFill/>
                      <a:miter lim="800000"/>
                      <a:headEnd/>
                      <a:tailEnd/>
                    </a:ln>
                  </pic:spPr>
                </pic:pic>
              </a:graphicData>
            </a:graphic>
          </wp:inline>
        </w:drawing>
      </w:r>
    </w:p>
    <w:p w:rsidR="00CD383E" w:rsidRPr="00BF6DA7" w:rsidRDefault="00CD383E" w:rsidP="00CD383E">
      <w:pPr>
        <w:ind w:right="-2"/>
        <w:rPr>
          <w:rFonts w:ascii="Bookman Old Style" w:hAnsi="Bookman Old Style"/>
          <w:i/>
          <w:sz w:val="18"/>
          <w:szCs w:val="20"/>
        </w:rPr>
      </w:pPr>
    </w:p>
    <w:sectPr w:rsidR="00CD383E" w:rsidRPr="00BF6DA7" w:rsidSect="00CD383E">
      <w:pgSz w:w="11906" w:h="16838"/>
      <w:pgMar w:top="1418" w:right="567" w:bottom="1418"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6E40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65" w:rsidRDefault="00A44065" w:rsidP="005216B2">
      <w:pPr>
        <w:spacing w:after="0" w:line="240" w:lineRule="auto"/>
      </w:pPr>
      <w:r>
        <w:separator/>
      </w:r>
    </w:p>
  </w:endnote>
  <w:endnote w:type="continuationSeparator" w:id="0">
    <w:p w:rsidR="00A44065" w:rsidRDefault="00A44065" w:rsidP="00521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
    <w:altName w:val="Times New Roman"/>
    <w:panose1 w:val="00000000000000000000"/>
    <w:charset w:val="4D"/>
    <w:family w:val="auto"/>
    <w:notTrueType/>
    <w:pitch w:val="default"/>
    <w:sig w:usb0="03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65" w:rsidRDefault="00A44065" w:rsidP="005216B2">
      <w:pPr>
        <w:spacing w:after="0" w:line="240" w:lineRule="auto"/>
      </w:pPr>
      <w:r>
        <w:separator/>
      </w:r>
    </w:p>
  </w:footnote>
  <w:footnote w:type="continuationSeparator" w:id="0">
    <w:p w:rsidR="00A44065" w:rsidRDefault="00A44065" w:rsidP="00521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2F1E"/>
    <w:multiLevelType w:val="hybridMultilevel"/>
    <w:tmpl w:val="9362A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7F23FC"/>
    <w:multiLevelType w:val="hybridMultilevel"/>
    <w:tmpl w:val="7CAA23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ée Michel">
    <w15:presenceInfo w15:providerId="Windows Live" w15:userId="71b21f465b5d6dd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1EA9"/>
    <w:rsid w:val="00001AB8"/>
    <w:rsid w:val="00026A93"/>
    <w:rsid w:val="000326CB"/>
    <w:rsid w:val="0004741E"/>
    <w:rsid w:val="000854B9"/>
    <w:rsid w:val="0008700A"/>
    <w:rsid w:val="0009721E"/>
    <w:rsid w:val="000A38C0"/>
    <w:rsid w:val="000B247E"/>
    <w:rsid w:val="000C5798"/>
    <w:rsid w:val="000D2834"/>
    <w:rsid w:val="000D40F5"/>
    <w:rsid w:val="000E0D19"/>
    <w:rsid w:val="000E65E7"/>
    <w:rsid w:val="000F5A9D"/>
    <w:rsid w:val="00120128"/>
    <w:rsid w:val="00135002"/>
    <w:rsid w:val="00143533"/>
    <w:rsid w:val="0015038F"/>
    <w:rsid w:val="001547B0"/>
    <w:rsid w:val="001610EF"/>
    <w:rsid w:val="001A3D48"/>
    <w:rsid w:val="001A426E"/>
    <w:rsid w:val="001C32FD"/>
    <w:rsid w:val="001C6E6F"/>
    <w:rsid w:val="001D2966"/>
    <w:rsid w:val="001D3610"/>
    <w:rsid w:val="001D4B73"/>
    <w:rsid w:val="001D6A84"/>
    <w:rsid w:val="001E6DCA"/>
    <w:rsid w:val="001F25D7"/>
    <w:rsid w:val="00200296"/>
    <w:rsid w:val="00222EA7"/>
    <w:rsid w:val="002648C5"/>
    <w:rsid w:val="002703FD"/>
    <w:rsid w:val="00290856"/>
    <w:rsid w:val="002A156B"/>
    <w:rsid w:val="002B1FCC"/>
    <w:rsid w:val="002B5C31"/>
    <w:rsid w:val="002C7EA4"/>
    <w:rsid w:val="002D1ACA"/>
    <w:rsid w:val="002D27DA"/>
    <w:rsid w:val="002D3278"/>
    <w:rsid w:val="002D65C2"/>
    <w:rsid w:val="002D7828"/>
    <w:rsid w:val="002E2A24"/>
    <w:rsid w:val="002E2FDE"/>
    <w:rsid w:val="002E5DE4"/>
    <w:rsid w:val="00322E45"/>
    <w:rsid w:val="0032533B"/>
    <w:rsid w:val="003270DE"/>
    <w:rsid w:val="00330052"/>
    <w:rsid w:val="0033068A"/>
    <w:rsid w:val="00330807"/>
    <w:rsid w:val="00350740"/>
    <w:rsid w:val="003662B8"/>
    <w:rsid w:val="0037745D"/>
    <w:rsid w:val="0038773E"/>
    <w:rsid w:val="003B4686"/>
    <w:rsid w:val="003B75AC"/>
    <w:rsid w:val="003C1B1B"/>
    <w:rsid w:val="003C5187"/>
    <w:rsid w:val="003C69DA"/>
    <w:rsid w:val="003D04F8"/>
    <w:rsid w:val="003D553F"/>
    <w:rsid w:val="003D554A"/>
    <w:rsid w:val="003E0C92"/>
    <w:rsid w:val="00444558"/>
    <w:rsid w:val="00446EF6"/>
    <w:rsid w:val="00475C95"/>
    <w:rsid w:val="00480BC6"/>
    <w:rsid w:val="004A4BD4"/>
    <w:rsid w:val="004B52FF"/>
    <w:rsid w:val="004B735F"/>
    <w:rsid w:val="004C183A"/>
    <w:rsid w:val="004C68BA"/>
    <w:rsid w:val="004F172F"/>
    <w:rsid w:val="005216B2"/>
    <w:rsid w:val="00521D46"/>
    <w:rsid w:val="005323C2"/>
    <w:rsid w:val="00544033"/>
    <w:rsid w:val="00552D8B"/>
    <w:rsid w:val="00565070"/>
    <w:rsid w:val="005B16A8"/>
    <w:rsid w:val="005B4839"/>
    <w:rsid w:val="005B7FB8"/>
    <w:rsid w:val="005C1EA9"/>
    <w:rsid w:val="005E1BC5"/>
    <w:rsid w:val="005E230F"/>
    <w:rsid w:val="005F1D58"/>
    <w:rsid w:val="006011F6"/>
    <w:rsid w:val="0060449A"/>
    <w:rsid w:val="00605D89"/>
    <w:rsid w:val="00607F7C"/>
    <w:rsid w:val="00613F5F"/>
    <w:rsid w:val="00617D2C"/>
    <w:rsid w:val="00646439"/>
    <w:rsid w:val="006573BA"/>
    <w:rsid w:val="006602F9"/>
    <w:rsid w:val="00697A13"/>
    <w:rsid w:val="006C2E6F"/>
    <w:rsid w:val="006C5C44"/>
    <w:rsid w:val="006F0513"/>
    <w:rsid w:val="00700543"/>
    <w:rsid w:val="007021E3"/>
    <w:rsid w:val="00704EE2"/>
    <w:rsid w:val="007116E9"/>
    <w:rsid w:val="00714DAE"/>
    <w:rsid w:val="00723024"/>
    <w:rsid w:val="00771293"/>
    <w:rsid w:val="00774D51"/>
    <w:rsid w:val="007764F1"/>
    <w:rsid w:val="00787DC9"/>
    <w:rsid w:val="007A12B1"/>
    <w:rsid w:val="007A14D7"/>
    <w:rsid w:val="007A790F"/>
    <w:rsid w:val="007B169A"/>
    <w:rsid w:val="007D30BB"/>
    <w:rsid w:val="007E4FF6"/>
    <w:rsid w:val="00802A2F"/>
    <w:rsid w:val="00820865"/>
    <w:rsid w:val="008276C1"/>
    <w:rsid w:val="0083181E"/>
    <w:rsid w:val="00834DEA"/>
    <w:rsid w:val="00853B7D"/>
    <w:rsid w:val="0086040C"/>
    <w:rsid w:val="00871974"/>
    <w:rsid w:val="00881B95"/>
    <w:rsid w:val="00885B19"/>
    <w:rsid w:val="008879BF"/>
    <w:rsid w:val="008A1053"/>
    <w:rsid w:val="008B039A"/>
    <w:rsid w:val="008B2810"/>
    <w:rsid w:val="008B7D8A"/>
    <w:rsid w:val="008C338B"/>
    <w:rsid w:val="008E5608"/>
    <w:rsid w:val="008E7D49"/>
    <w:rsid w:val="00913568"/>
    <w:rsid w:val="009435B5"/>
    <w:rsid w:val="009462BF"/>
    <w:rsid w:val="00956E5C"/>
    <w:rsid w:val="00960AE9"/>
    <w:rsid w:val="00995243"/>
    <w:rsid w:val="00997F9A"/>
    <w:rsid w:val="009B2929"/>
    <w:rsid w:val="009C7C03"/>
    <w:rsid w:val="009D2F89"/>
    <w:rsid w:val="009D4AF5"/>
    <w:rsid w:val="00A020F3"/>
    <w:rsid w:val="00A2193E"/>
    <w:rsid w:val="00A239ED"/>
    <w:rsid w:val="00A35A8D"/>
    <w:rsid w:val="00A44065"/>
    <w:rsid w:val="00A8613B"/>
    <w:rsid w:val="00A93D48"/>
    <w:rsid w:val="00A962D7"/>
    <w:rsid w:val="00AB14E2"/>
    <w:rsid w:val="00AD22E7"/>
    <w:rsid w:val="00AE3472"/>
    <w:rsid w:val="00AE6217"/>
    <w:rsid w:val="00AF3FD5"/>
    <w:rsid w:val="00B07C36"/>
    <w:rsid w:val="00B145EB"/>
    <w:rsid w:val="00B21E6C"/>
    <w:rsid w:val="00B23B49"/>
    <w:rsid w:val="00B269F3"/>
    <w:rsid w:val="00B27347"/>
    <w:rsid w:val="00B3585C"/>
    <w:rsid w:val="00B36137"/>
    <w:rsid w:val="00B3745A"/>
    <w:rsid w:val="00B423B2"/>
    <w:rsid w:val="00B72688"/>
    <w:rsid w:val="00B74061"/>
    <w:rsid w:val="00B85C60"/>
    <w:rsid w:val="00BA2C1F"/>
    <w:rsid w:val="00BA701F"/>
    <w:rsid w:val="00BB0E26"/>
    <w:rsid w:val="00BB4D1C"/>
    <w:rsid w:val="00BB4EB9"/>
    <w:rsid w:val="00BC11FA"/>
    <w:rsid w:val="00BD0070"/>
    <w:rsid w:val="00BE1F4D"/>
    <w:rsid w:val="00BF6DA7"/>
    <w:rsid w:val="00C0160D"/>
    <w:rsid w:val="00C0749F"/>
    <w:rsid w:val="00C12B23"/>
    <w:rsid w:val="00C378D6"/>
    <w:rsid w:val="00C40890"/>
    <w:rsid w:val="00C47E22"/>
    <w:rsid w:val="00C51144"/>
    <w:rsid w:val="00C5701E"/>
    <w:rsid w:val="00C60F9A"/>
    <w:rsid w:val="00C63B87"/>
    <w:rsid w:val="00C66091"/>
    <w:rsid w:val="00C719E6"/>
    <w:rsid w:val="00C7395D"/>
    <w:rsid w:val="00C83CE3"/>
    <w:rsid w:val="00C87DC9"/>
    <w:rsid w:val="00CA0096"/>
    <w:rsid w:val="00CC328B"/>
    <w:rsid w:val="00CC336E"/>
    <w:rsid w:val="00CC3F8E"/>
    <w:rsid w:val="00CD383E"/>
    <w:rsid w:val="00CD7A2D"/>
    <w:rsid w:val="00CE475B"/>
    <w:rsid w:val="00CF23F9"/>
    <w:rsid w:val="00D01F97"/>
    <w:rsid w:val="00D141D1"/>
    <w:rsid w:val="00D4483B"/>
    <w:rsid w:val="00D567E9"/>
    <w:rsid w:val="00D863A4"/>
    <w:rsid w:val="00D86A04"/>
    <w:rsid w:val="00D86D06"/>
    <w:rsid w:val="00D879DD"/>
    <w:rsid w:val="00D96BFB"/>
    <w:rsid w:val="00D977B6"/>
    <w:rsid w:val="00DA4B1C"/>
    <w:rsid w:val="00DA4C83"/>
    <w:rsid w:val="00DB2566"/>
    <w:rsid w:val="00DB3F9F"/>
    <w:rsid w:val="00DB536A"/>
    <w:rsid w:val="00DC6221"/>
    <w:rsid w:val="00E12987"/>
    <w:rsid w:val="00E15957"/>
    <w:rsid w:val="00E46525"/>
    <w:rsid w:val="00E5014C"/>
    <w:rsid w:val="00E5394C"/>
    <w:rsid w:val="00E572BE"/>
    <w:rsid w:val="00E60CF5"/>
    <w:rsid w:val="00E67309"/>
    <w:rsid w:val="00E673A9"/>
    <w:rsid w:val="00E747E8"/>
    <w:rsid w:val="00E96267"/>
    <w:rsid w:val="00E970F3"/>
    <w:rsid w:val="00ED5585"/>
    <w:rsid w:val="00F13DA1"/>
    <w:rsid w:val="00F21BBF"/>
    <w:rsid w:val="00F33985"/>
    <w:rsid w:val="00F3594A"/>
    <w:rsid w:val="00F35F21"/>
    <w:rsid w:val="00F538C2"/>
    <w:rsid w:val="00F57880"/>
    <w:rsid w:val="00F71D57"/>
    <w:rsid w:val="00F8699D"/>
    <w:rsid w:val="00F97D3C"/>
    <w:rsid w:val="00FC50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2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1B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B95"/>
    <w:rPr>
      <w:rFonts w:ascii="Tahoma" w:hAnsi="Tahoma" w:cs="Tahoma"/>
      <w:sz w:val="16"/>
      <w:szCs w:val="16"/>
    </w:rPr>
  </w:style>
  <w:style w:type="paragraph" w:styleId="En-tte">
    <w:name w:val="header"/>
    <w:basedOn w:val="Normal"/>
    <w:link w:val="En-tteCar"/>
    <w:uiPriority w:val="99"/>
    <w:semiHidden/>
    <w:unhideWhenUsed/>
    <w:rsid w:val="005216B2"/>
    <w:pPr>
      <w:tabs>
        <w:tab w:val="center" w:pos="4536"/>
        <w:tab w:val="right" w:pos="9072"/>
      </w:tabs>
    </w:pPr>
  </w:style>
  <w:style w:type="character" w:customStyle="1" w:styleId="En-tteCar">
    <w:name w:val="En-tête Car"/>
    <w:basedOn w:val="Policepardfaut"/>
    <w:link w:val="En-tte"/>
    <w:uiPriority w:val="99"/>
    <w:semiHidden/>
    <w:rsid w:val="005216B2"/>
    <w:rPr>
      <w:sz w:val="22"/>
      <w:szCs w:val="22"/>
      <w:lang w:eastAsia="en-US"/>
    </w:rPr>
  </w:style>
  <w:style w:type="paragraph" w:styleId="Pieddepage">
    <w:name w:val="footer"/>
    <w:basedOn w:val="Normal"/>
    <w:link w:val="PieddepageCar"/>
    <w:uiPriority w:val="99"/>
    <w:unhideWhenUsed/>
    <w:rsid w:val="005216B2"/>
    <w:pPr>
      <w:tabs>
        <w:tab w:val="center" w:pos="4536"/>
        <w:tab w:val="right" w:pos="9072"/>
      </w:tabs>
    </w:pPr>
  </w:style>
  <w:style w:type="character" w:customStyle="1" w:styleId="PieddepageCar">
    <w:name w:val="Pied de page Car"/>
    <w:basedOn w:val="Policepardfaut"/>
    <w:link w:val="Pieddepage"/>
    <w:uiPriority w:val="99"/>
    <w:rsid w:val="005216B2"/>
    <w:rPr>
      <w:sz w:val="22"/>
      <w:szCs w:val="22"/>
      <w:lang w:eastAsia="en-US"/>
    </w:rPr>
  </w:style>
  <w:style w:type="paragraph" w:styleId="Paragraphedeliste">
    <w:name w:val="List Paragraph"/>
    <w:basedOn w:val="Normal"/>
    <w:uiPriority w:val="34"/>
    <w:qFormat/>
    <w:rsid w:val="008276C1"/>
    <w:pPr>
      <w:ind w:left="720"/>
      <w:contextualSpacing/>
    </w:pPr>
  </w:style>
  <w:style w:type="paragraph" w:customStyle="1" w:styleId="024">
    <w:name w:val="024"/>
    <w:basedOn w:val="Normal"/>
    <w:uiPriority w:val="99"/>
    <w:rsid w:val="00A93D48"/>
    <w:pPr>
      <w:widowControl w:val="0"/>
      <w:autoSpaceDE w:val="0"/>
      <w:autoSpaceDN w:val="0"/>
      <w:adjustRightInd w:val="0"/>
      <w:spacing w:after="440" w:line="220" w:lineRule="atLeast"/>
      <w:jc w:val="both"/>
      <w:textAlignment w:val="center"/>
    </w:pPr>
    <w:rPr>
      <w:rFonts w:ascii="StoneSans" w:eastAsia="Times New Roman" w:hAnsi="StoneSans" w:cs="StoneSans"/>
      <w:smallCaps/>
      <w:color w:val="0091FF"/>
      <w:spacing w:val="14"/>
      <w:sz w:val="28"/>
      <w:szCs w:val="28"/>
      <w:lang w:eastAsia="fr-FR"/>
    </w:rPr>
  </w:style>
  <w:style w:type="paragraph" w:customStyle="1" w:styleId="022">
    <w:name w:val="022"/>
    <w:basedOn w:val="Normal"/>
    <w:rsid w:val="00A93D48"/>
    <w:pPr>
      <w:widowControl w:val="0"/>
      <w:autoSpaceDE w:val="0"/>
      <w:autoSpaceDN w:val="0"/>
      <w:adjustRightInd w:val="0"/>
      <w:spacing w:after="0" w:line="200" w:lineRule="atLeast"/>
      <w:textAlignment w:val="center"/>
    </w:pPr>
    <w:rPr>
      <w:rFonts w:ascii="StoneSans" w:eastAsia="Times New Roman" w:hAnsi="StoneSans" w:cs="StoneSans"/>
      <w:color w:val="0091FF"/>
      <w:w w:val="75"/>
      <w:sz w:val="40"/>
      <w:szCs w:val="40"/>
      <w:lang w:eastAsia="fr-FR"/>
    </w:rPr>
  </w:style>
  <w:style w:type="character" w:styleId="Marquedecommentaire">
    <w:name w:val="annotation reference"/>
    <w:basedOn w:val="Policepardfaut"/>
    <w:uiPriority w:val="99"/>
    <w:semiHidden/>
    <w:unhideWhenUsed/>
    <w:rsid w:val="00C66091"/>
    <w:rPr>
      <w:sz w:val="16"/>
      <w:szCs w:val="16"/>
    </w:rPr>
  </w:style>
  <w:style w:type="paragraph" w:styleId="Commentaire">
    <w:name w:val="annotation text"/>
    <w:basedOn w:val="Normal"/>
    <w:link w:val="CommentaireCar"/>
    <w:uiPriority w:val="99"/>
    <w:semiHidden/>
    <w:unhideWhenUsed/>
    <w:rsid w:val="00C66091"/>
    <w:pPr>
      <w:spacing w:line="240" w:lineRule="auto"/>
    </w:pPr>
    <w:rPr>
      <w:sz w:val="20"/>
      <w:szCs w:val="20"/>
    </w:rPr>
  </w:style>
  <w:style w:type="character" w:customStyle="1" w:styleId="CommentaireCar">
    <w:name w:val="Commentaire Car"/>
    <w:basedOn w:val="Policepardfaut"/>
    <w:link w:val="Commentaire"/>
    <w:uiPriority w:val="99"/>
    <w:semiHidden/>
    <w:rsid w:val="00C66091"/>
    <w:rPr>
      <w:lang w:eastAsia="en-US"/>
    </w:rPr>
  </w:style>
  <w:style w:type="paragraph" w:styleId="Objetducommentaire">
    <w:name w:val="annotation subject"/>
    <w:basedOn w:val="Commentaire"/>
    <w:next w:val="Commentaire"/>
    <w:link w:val="ObjetducommentaireCar"/>
    <w:uiPriority w:val="99"/>
    <w:semiHidden/>
    <w:unhideWhenUsed/>
    <w:rsid w:val="00C66091"/>
    <w:rPr>
      <w:b/>
      <w:bCs/>
    </w:rPr>
  </w:style>
  <w:style w:type="character" w:customStyle="1" w:styleId="ObjetducommentaireCar">
    <w:name w:val="Objet du commentaire Car"/>
    <w:basedOn w:val="CommentaireCar"/>
    <w:link w:val="Objetducommentaire"/>
    <w:uiPriority w:val="99"/>
    <w:semiHidden/>
    <w:rsid w:val="00C66091"/>
    <w:rPr>
      <w:b/>
      <w:bCs/>
      <w:lang w:eastAsia="en-US"/>
    </w:rPr>
  </w:style>
</w:styles>
</file>

<file path=word/webSettings.xml><?xml version="1.0" encoding="utf-8"?>
<w:webSettings xmlns:r="http://schemas.openxmlformats.org/officeDocument/2006/relationships" xmlns:w="http://schemas.openxmlformats.org/wordprocessingml/2006/main">
  <w:divs>
    <w:div w:id="53045054">
      <w:bodyDiv w:val="1"/>
      <w:marLeft w:val="0"/>
      <w:marRight w:val="0"/>
      <w:marTop w:val="0"/>
      <w:marBottom w:val="0"/>
      <w:divBdr>
        <w:top w:val="none" w:sz="0" w:space="0" w:color="auto"/>
        <w:left w:val="none" w:sz="0" w:space="0" w:color="auto"/>
        <w:bottom w:val="none" w:sz="0" w:space="0" w:color="auto"/>
        <w:right w:val="none" w:sz="0" w:space="0" w:color="auto"/>
      </w:divBdr>
    </w:div>
    <w:div w:id="170922955">
      <w:bodyDiv w:val="1"/>
      <w:marLeft w:val="0"/>
      <w:marRight w:val="0"/>
      <w:marTop w:val="0"/>
      <w:marBottom w:val="0"/>
      <w:divBdr>
        <w:top w:val="none" w:sz="0" w:space="0" w:color="auto"/>
        <w:left w:val="none" w:sz="0" w:space="0" w:color="auto"/>
        <w:bottom w:val="none" w:sz="0" w:space="0" w:color="auto"/>
        <w:right w:val="none" w:sz="0" w:space="0" w:color="auto"/>
      </w:divBdr>
    </w:div>
    <w:div w:id="192770679">
      <w:bodyDiv w:val="1"/>
      <w:marLeft w:val="0"/>
      <w:marRight w:val="0"/>
      <w:marTop w:val="0"/>
      <w:marBottom w:val="0"/>
      <w:divBdr>
        <w:top w:val="none" w:sz="0" w:space="0" w:color="auto"/>
        <w:left w:val="none" w:sz="0" w:space="0" w:color="auto"/>
        <w:bottom w:val="none" w:sz="0" w:space="0" w:color="auto"/>
        <w:right w:val="none" w:sz="0" w:space="0" w:color="auto"/>
      </w:divBdr>
    </w:div>
    <w:div w:id="219948510">
      <w:bodyDiv w:val="1"/>
      <w:marLeft w:val="0"/>
      <w:marRight w:val="0"/>
      <w:marTop w:val="0"/>
      <w:marBottom w:val="0"/>
      <w:divBdr>
        <w:top w:val="none" w:sz="0" w:space="0" w:color="auto"/>
        <w:left w:val="none" w:sz="0" w:space="0" w:color="auto"/>
        <w:bottom w:val="none" w:sz="0" w:space="0" w:color="auto"/>
        <w:right w:val="none" w:sz="0" w:space="0" w:color="auto"/>
      </w:divBdr>
    </w:div>
    <w:div w:id="273555577">
      <w:bodyDiv w:val="1"/>
      <w:marLeft w:val="0"/>
      <w:marRight w:val="0"/>
      <w:marTop w:val="0"/>
      <w:marBottom w:val="0"/>
      <w:divBdr>
        <w:top w:val="none" w:sz="0" w:space="0" w:color="auto"/>
        <w:left w:val="none" w:sz="0" w:space="0" w:color="auto"/>
        <w:bottom w:val="none" w:sz="0" w:space="0" w:color="auto"/>
        <w:right w:val="none" w:sz="0" w:space="0" w:color="auto"/>
      </w:divBdr>
    </w:div>
    <w:div w:id="297565405">
      <w:bodyDiv w:val="1"/>
      <w:marLeft w:val="0"/>
      <w:marRight w:val="0"/>
      <w:marTop w:val="0"/>
      <w:marBottom w:val="0"/>
      <w:divBdr>
        <w:top w:val="none" w:sz="0" w:space="0" w:color="auto"/>
        <w:left w:val="none" w:sz="0" w:space="0" w:color="auto"/>
        <w:bottom w:val="none" w:sz="0" w:space="0" w:color="auto"/>
        <w:right w:val="none" w:sz="0" w:space="0" w:color="auto"/>
      </w:divBdr>
    </w:div>
    <w:div w:id="338235289">
      <w:bodyDiv w:val="1"/>
      <w:marLeft w:val="0"/>
      <w:marRight w:val="0"/>
      <w:marTop w:val="0"/>
      <w:marBottom w:val="0"/>
      <w:divBdr>
        <w:top w:val="none" w:sz="0" w:space="0" w:color="auto"/>
        <w:left w:val="none" w:sz="0" w:space="0" w:color="auto"/>
        <w:bottom w:val="none" w:sz="0" w:space="0" w:color="auto"/>
        <w:right w:val="none" w:sz="0" w:space="0" w:color="auto"/>
      </w:divBdr>
    </w:div>
    <w:div w:id="400175298">
      <w:bodyDiv w:val="1"/>
      <w:marLeft w:val="0"/>
      <w:marRight w:val="0"/>
      <w:marTop w:val="0"/>
      <w:marBottom w:val="0"/>
      <w:divBdr>
        <w:top w:val="none" w:sz="0" w:space="0" w:color="auto"/>
        <w:left w:val="none" w:sz="0" w:space="0" w:color="auto"/>
        <w:bottom w:val="none" w:sz="0" w:space="0" w:color="auto"/>
        <w:right w:val="none" w:sz="0" w:space="0" w:color="auto"/>
      </w:divBdr>
    </w:div>
    <w:div w:id="454716038">
      <w:bodyDiv w:val="1"/>
      <w:marLeft w:val="0"/>
      <w:marRight w:val="0"/>
      <w:marTop w:val="0"/>
      <w:marBottom w:val="0"/>
      <w:divBdr>
        <w:top w:val="none" w:sz="0" w:space="0" w:color="auto"/>
        <w:left w:val="none" w:sz="0" w:space="0" w:color="auto"/>
        <w:bottom w:val="none" w:sz="0" w:space="0" w:color="auto"/>
        <w:right w:val="none" w:sz="0" w:space="0" w:color="auto"/>
      </w:divBdr>
    </w:div>
    <w:div w:id="525094315">
      <w:bodyDiv w:val="1"/>
      <w:marLeft w:val="0"/>
      <w:marRight w:val="0"/>
      <w:marTop w:val="0"/>
      <w:marBottom w:val="0"/>
      <w:divBdr>
        <w:top w:val="none" w:sz="0" w:space="0" w:color="auto"/>
        <w:left w:val="none" w:sz="0" w:space="0" w:color="auto"/>
        <w:bottom w:val="none" w:sz="0" w:space="0" w:color="auto"/>
        <w:right w:val="none" w:sz="0" w:space="0" w:color="auto"/>
      </w:divBdr>
    </w:div>
    <w:div w:id="556402880">
      <w:bodyDiv w:val="1"/>
      <w:marLeft w:val="0"/>
      <w:marRight w:val="0"/>
      <w:marTop w:val="0"/>
      <w:marBottom w:val="0"/>
      <w:divBdr>
        <w:top w:val="none" w:sz="0" w:space="0" w:color="auto"/>
        <w:left w:val="none" w:sz="0" w:space="0" w:color="auto"/>
        <w:bottom w:val="none" w:sz="0" w:space="0" w:color="auto"/>
        <w:right w:val="none" w:sz="0" w:space="0" w:color="auto"/>
      </w:divBdr>
      <w:divsChild>
        <w:div w:id="1747461040">
          <w:marLeft w:val="0"/>
          <w:marRight w:val="0"/>
          <w:marTop w:val="0"/>
          <w:marBottom w:val="0"/>
          <w:divBdr>
            <w:top w:val="none" w:sz="0" w:space="0" w:color="auto"/>
            <w:left w:val="none" w:sz="0" w:space="0" w:color="auto"/>
            <w:bottom w:val="none" w:sz="0" w:space="0" w:color="auto"/>
            <w:right w:val="none" w:sz="0" w:space="0" w:color="auto"/>
          </w:divBdr>
        </w:div>
      </w:divsChild>
    </w:div>
    <w:div w:id="577061877">
      <w:bodyDiv w:val="1"/>
      <w:marLeft w:val="0"/>
      <w:marRight w:val="0"/>
      <w:marTop w:val="0"/>
      <w:marBottom w:val="0"/>
      <w:divBdr>
        <w:top w:val="none" w:sz="0" w:space="0" w:color="auto"/>
        <w:left w:val="none" w:sz="0" w:space="0" w:color="auto"/>
        <w:bottom w:val="none" w:sz="0" w:space="0" w:color="auto"/>
        <w:right w:val="none" w:sz="0" w:space="0" w:color="auto"/>
      </w:divBdr>
    </w:div>
    <w:div w:id="777991359">
      <w:bodyDiv w:val="1"/>
      <w:marLeft w:val="0"/>
      <w:marRight w:val="0"/>
      <w:marTop w:val="0"/>
      <w:marBottom w:val="0"/>
      <w:divBdr>
        <w:top w:val="none" w:sz="0" w:space="0" w:color="auto"/>
        <w:left w:val="none" w:sz="0" w:space="0" w:color="auto"/>
        <w:bottom w:val="none" w:sz="0" w:space="0" w:color="auto"/>
        <w:right w:val="none" w:sz="0" w:space="0" w:color="auto"/>
      </w:divBdr>
    </w:div>
    <w:div w:id="803086649">
      <w:bodyDiv w:val="1"/>
      <w:marLeft w:val="0"/>
      <w:marRight w:val="0"/>
      <w:marTop w:val="0"/>
      <w:marBottom w:val="0"/>
      <w:divBdr>
        <w:top w:val="none" w:sz="0" w:space="0" w:color="auto"/>
        <w:left w:val="none" w:sz="0" w:space="0" w:color="auto"/>
        <w:bottom w:val="none" w:sz="0" w:space="0" w:color="auto"/>
        <w:right w:val="none" w:sz="0" w:space="0" w:color="auto"/>
      </w:divBdr>
    </w:div>
    <w:div w:id="880439832">
      <w:bodyDiv w:val="1"/>
      <w:marLeft w:val="0"/>
      <w:marRight w:val="0"/>
      <w:marTop w:val="0"/>
      <w:marBottom w:val="0"/>
      <w:divBdr>
        <w:top w:val="none" w:sz="0" w:space="0" w:color="auto"/>
        <w:left w:val="none" w:sz="0" w:space="0" w:color="auto"/>
        <w:bottom w:val="none" w:sz="0" w:space="0" w:color="auto"/>
        <w:right w:val="none" w:sz="0" w:space="0" w:color="auto"/>
      </w:divBdr>
    </w:div>
    <w:div w:id="1125387782">
      <w:bodyDiv w:val="1"/>
      <w:marLeft w:val="0"/>
      <w:marRight w:val="0"/>
      <w:marTop w:val="0"/>
      <w:marBottom w:val="0"/>
      <w:divBdr>
        <w:top w:val="none" w:sz="0" w:space="0" w:color="auto"/>
        <w:left w:val="none" w:sz="0" w:space="0" w:color="auto"/>
        <w:bottom w:val="none" w:sz="0" w:space="0" w:color="auto"/>
        <w:right w:val="none" w:sz="0" w:space="0" w:color="auto"/>
      </w:divBdr>
    </w:div>
    <w:div w:id="1157913929">
      <w:bodyDiv w:val="1"/>
      <w:marLeft w:val="0"/>
      <w:marRight w:val="0"/>
      <w:marTop w:val="0"/>
      <w:marBottom w:val="0"/>
      <w:divBdr>
        <w:top w:val="none" w:sz="0" w:space="0" w:color="auto"/>
        <w:left w:val="none" w:sz="0" w:space="0" w:color="auto"/>
        <w:bottom w:val="none" w:sz="0" w:space="0" w:color="auto"/>
        <w:right w:val="none" w:sz="0" w:space="0" w:color="auto"/>
      </w:divBdr>
    </w:div>
    <w:div w:id="1170411982">
      <w:bodyDiv w:val="1"/>
      <w:marLeft w:val="0"/>
      <w:marRight w:val="0"/>
      <w:marTop w:val="0"/>
      <w:marBottom w:val="0"/>
      <w:divBdr>
        <w:top w:val="none" w:sz="0" w:space="0" w:color="auto"/>
        <w:left w:val="none" w:sz="0" w:space="0" w:color="auto"/>
        <w:bottom w:val="none" w:sz="0" w:space="0" w:color="auto"/>
        <w:right w:val="none" w:sz="0" w:space="0" w:color="auto"/>
      </w:divBdr>
    </w:div>
    <w:div w:id="1238704710">
      <w:bodyDiv w:val="1"/>
      <w:marLeft w:val="0"/>
      <w:marRight w:val="0"/>
      <w:marTop w:val="0"/>
      <w:marBottom w:val="0"/>
      <w:divBdr>
        <w:top w:val="none" w:sz="0" w:space="0" w:color="auto"/>
        <w:left w:val="none" w:sz="0" w:space="0" w:color="auto"/>
        <w:bottom w:val="none" w:sz="0" w:space="0" w:color="auto"/>
        <w:right w:val="none" w:sz="0" w:space="0" w:color="auto"/>
      </w:divBdr>
    </w:div>
    <w:div w:id="1257985776">
      <w:bodyDiv w:val="1"/>
      <w:marLeft w:val="0"/>
      <w:marRight w:val="0"/>
      <w:marTop w:val="0"/>
      <w:marBottom w:val="0"/>
      <w:divBdr>
        <w:top w:val="none" w:sz="0" w:space="0" w:color="auto"/>
        <w:left w:val="none" w:sz="0" w:space="0" w:color="auto"/>
        <w:bottom w:val="none" w:sz="0" w:space="0" w:color="auto"/>
        <w:right w:val="none" w:sz="0" w:space="0" w:color="auto"/>
      </w:divBdr>
    </w:div>
    <w:div w:id="1275673221">
      <w:bodyDiv w:val="1"/>
      <w:marLeft w:val="0"/>
      <w:marRight w:val="0"/>
      <w:marTop w:val="0"/>
      <w:marBottom w:val="0"/>
      <w:divBdr>
        <w:top w:val="none" w:sz="0" w:space="0" w:color="auto"/>
        <w:left w:val="none" w:sz="0" w:space="0" w:color="auto"/>
        <w:bottom w:val="none" w:sz="0" w:space="0" w:color="auto"/>
        <w:right w:val="none" w:sz="0" w:space="0" w:color="auto"/>
      </w:divBdr>
    </w:div>
    <w:div w:id="1364792284">
      <w:bodyDiv w:val="1"/>
      <w:marLeft w:val="0"/>
      <w:marRight w:val="0"/>
      <w:marTop w:val="0"/>
      <w:marBottom w:val="0"/>
      <w:divBdr>
        <w:top w:val="none" w:sz="0" w:space="0" w:color="auto"/>
        <w:left w:val="none" w:sz="0" w:space="0" w:color="auto"/>
        <w:bottom w:val="none" w:sz="0" w:space="0" w:color="auto"/>
        <w:right w:val="none" w:sz="0" w:space="0" w:color="auto"/>
      </w:divBdr>
    </w:div>
    <w:div w:id="1577935690">
      <w:bodyDiv w:val="1"/>
      <w:marLeft w:val="0"/>
      <w:marRight w:val="0"/>
      <w:marTop w:val="0"/>
      <w:marBottom w:val="0"/>
      <w:divBdr>
        <w:top w:val="none" w:sz="0" w:space="0" w:color="auto"/>
        <w:left w:val="none" w:sz="0" w:space="0" w:color="auto"/>
        <w:bottom w:val="none" w:sz="0" w:space="0" w:color="auto"/>
        <w:right w:val="none" w:sz="0" w:space="0" w:color="auto"/>
      </w:divBdr>
    </w:div>
    <w:div w:id="1606229405">
      <w:bodyDiv w:val="1"/>
      <w:marLeft w:val="0"/>
      <w:marRight w:val="0"/>
      <w:marTop w:val="0"/>
      <w:marBottom w:val="0"/>
      <w:divBdr>
        <w:top w:val="none" w:sz="0" w:space="0" w:color="auto"/>
        <w:left w:val="none" w:sz="0" w:space="0" w:color="auto"/>
        <w:bottom w:val="none" w:sz="0" w:space="0" w:color="auto"/>
        <w:right w:val="none" w:sz="0" w:space="0" w:color="auto"/>
      </w:divBdr>
    </w:div>
    <w:div w:id="1665208817">
      <w:bodyDiv w:val="1"/>
      <w:marLeft w:val="0"/>
      <w:marRight w:val="0"/>
      <w:marTop w:val="0"/>
      <w:marBottom w:val="0"/>
      <w:divBdr>
        <w:top w:val="none" w:sz="0" w:space="0" w:color="auto"/>
        <w:left w:val="none" w:sz="0" w:space="0" w:color="auto"/>
        <w:bottom w:val="none" w:sz="0" w:space="0" w:color="auto"/>
        <w:right w:val="none" w:sz="0" w:space="0" w:color="auto"/>
      </w:divBdr>
    </w:div>
    <w:div w:id="19126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A5F04-955C-42EE-B489-6EA6B735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1322</Words>
  <Characters>7274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NIEL Xavier</cp:lastModifiedBy>
  <cp:revision>3</cp:revision>
  <cp:lastPrinted>2017-06-30T11:24:00Z</cp:lastPrinted>
  <dcterms:created xsi:type="dcterms:W3CDTF">2017-11-28T11:07:00Z</dcterms:created>
  <dcterms:modified xsi:type="dcterms:W3CDTF">2017-11-28T11:09:00Z</dcterms:modified>
</cp:coreProperties>
</file>