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D1" w:rsidRPr="0053716A" w:rsidRDefault="00115EB3" w:rsidP="00D43C0E">
      <w:pPr>
        <w:jc w:val="center"/>
        <w:rPr>
          <w:b/>
          <w:sz w:val="24"/>
        </w:rPr>
      </w:pPr>
      <w:r>
        <w:rPr>
          <w:b/>
          <w:sz w:val="24"/>
        </w:rPr>
        <w:t>LES COMPTES DES COLLECTIVITES LOCALES PUBLIÉS PAR LA DGCL</w:t>
      </w:r>
    </w:p>
    <w:p w:rsidR="007E6418" w:rsidRPr="007E6418" w:rsidRDefault="007E6418" w:rsidP="007E6418">
      <w:pPr>
        <w:jc w:val="right"/>
        <w:rPr>
          <w:i/>
        </w:rPr>
      </w:pPr>
      <w:r w:rsidRPr="007E6418">
        <w:rPr>
          <w:i/>
        </w:rPr>
        <w:t>Xavier NIEL - DESL</w:t>
      </w:r>
    </w:p>
    <w:p w:rsidR="007E6418" w:rsidRDefault="007E6418" w:rsidP="004F129A">
      <w:pPr>
        <w:jc w:val="both"/>
        <w:rPr>
          <w:b/>
        </w:rPr>
      </w:pPr>
    </w:p>
    <w:p w:rsidR="007E6418" w:rsidRDefault="007E6418" w:rsidP="004F129A">
      <w:pPr>
        <w:jc w:val="both"/>
        <w:rPr>
          <w:b/>
        </w:rPr>
      </w:pPr>
    </w:p>
    <w:p w:rsidR="004F129A" w:rsidRPr="007E6418" w:rsidRDefault="007E6418" w:rsidP="004F129A">
      <w:pPr>
        <w:jc w:val="both"/>
        <w:rPr>
          <w:b/>
          <w:u w:val="single"/>
        </w:rPr>
      </w:pPr>
      <w:r w:rsidRPr="007E6418">
        <w:rPr>
          <w:b/>
          <w:u w:val="single"/>
        </w:rPr>
        <w:t xml:space="preserve">1 - </w:t>
      </w:r>
      <w:r w:rsidR="00115EB3">
        <w:rPr>
          <w:b/>
          <w:u w:val="single"/>
        </w:rPr>
        <w:t>PRÉSENTATION</w:t>
      </w:r>
    </w:p>
    <w:p w:rsidR="00080144" w:rsidRDefault="004F129A" w:rsidP="005D6B10">
      <w:pPr>
        <w:jc w:val="both"/>
      </w:pPr>
      <w:r>
        <w:t xml:space="preserve">Chaque année, </w:t>
      </w:r>
      <w:r w:rsidR="00115EB3">
        <w:t>le département des études et des statistiques locales (</w:t>
      </w:r>
      <w:r>
        <w:t>DESL</w:t>
      </w:r>
      <w:r w:rsidR="00115EB3">
        <w:t>) de la DGCL</w:t>
      </w:r>
      <w:r>
        <w:t xml:space="preserve"> élabore </w:t>
      </w:r>
      <w:r w:rsidR="00D954A3">
        <w:t xml:space="preserve">et publie </w:t>
      </w:r>
      <w:r>
        <w:t>les statistiques comptables des collectivités locales</w:t>
      </w:r>
      <w:r w:rsidR="009530AA">
        <w:t xml:space="preserve"> (dépenses et recettes de fonctionnement, dépenses et recettes d’investissement, emprunts, dette, ratio</w:t>
      </w:r>
      <w:r w:rsidR="00115EB3">
        <w:t>s</w:t>
      </w:r>
      <w:r w:rsidR="009530AA">
        <w:t xml:space="preserve"> de gestion</w:t>
      </w:r>
      <w:r w:rsidR="00115EB3">
        <w:t>,</w:t>
      </w:r>
      <w:r w:rsidR="009530AA">
        <w:t xml:space="preserve"> etc.)</w:t>
      </w:r>
      <w:r w:rsidR="00377B63">
        <w:t xml:space="preserve"> (cf. un exemple de publication dans « Collectivités locales en Chiffres »</w:t>
      </w:r>
      <w:r w:rsidR="007119A5" w:rsidRPr="007119A5">
        <w:t xml:space="preserve"> </w:t>
      </w:r>
      <w:r w:rsidR="007119A5">
        <w:t>en annexe 1</w:t>
      </w:r>
      <w:proofErr w:type="gramStart"/>
      <w:r w:rsidR="00377B63">
        <w:t xml:space="preserve">) </w:t>
      </w:r>
      <w:r>
        <w:t>.</w:t>
      </w:r>
      <w:proofErr w:type="gramEnd"/>
      <w:r w:rsidR="009530AA">
        <w:t xml:space="preserve"> </w:t>
      </w:r>
    </w:p>
    <w:p w:rsidR="007119A5" w:rsidRDefault="008478F6" w:rsidP="005D6B10">
      <w:pPr>
        <w:jc w:val="both"/>
      </w:pPr>
      <w:r>
        <w:t xml:space="preserve">Selon les suggestions et remarques des utilisateurs, et en concertation avec les producteurs des sources utilisées, le département statistique peut modifier la liste des postes </w:t>
      </w:r>
      <w:r w:rsidR="009530AA">
        <w:t xml:space="preserve">comptables </w:t>
      </w:r>
      <w:r>
        <w:t xml:space="preserve">et leur présentation. </w:t>
      </w:r>
    </w:p>
    <w:p w:rsidR="00080144" w:rsidRDefault="005D6B10" w:rsidP="005D6B10">
      <w:pPr>
        <w:jc w:val="both"/>
      </w:pPr>
      <w:r>
        <w:t xml:space="preserve">Le </w:t>
      </w:r>
      <w:r w:rsidRPr="000D2AB8">
        <w:rPr>
          <w:u w:val="single"/>
        </w:rPr>
        <w:t>choix des agrégats comptables diffusés</w:t>
      </w:r>
      <w:r w:rsidR="007119A5">
        <w:t xml:space="preserve"> est celui de DESL :</w:t>
      </w:r>
    </w:p>
    <w:p w:rsidR="005D6B10" w:rsidRDefault="007119A5" w:rsidP="007119A5">
      <w:pPr>
        <w:ind w:left="284"/>
        <w:jc w:val="both"/>
      </w:pPr>
      <w:r>
        <w:t>- </w:t>
      </w:r>
      <w:r w:rsidR="005D6B10">
        <w:t xml:space="preserve">Il peut </w:t>
      </w:r>
      <w:r w:rsidR="009530AA" w:rsidRPr="00080144">
        <w:rPr>
          <w:u w:val="single"/>
        </w:rPr>
        <w:t>dépendre</w:t>
      </w:r>
      <w:r w:rsidR="005D6B10" w:rsidRPr="00080144">
        <w:rPr>
          <w:u w:val="single"/>
        </w:rPr>
        <w:t xml:space="preserve"> </w:t>
      </w:r>
      <w:r w:rsidR="009530AA" w:rsidRPr="00080144">
        <w:rPr>
          <w:u w:val="single"/>
        </w:rPr>
        <w:t xml:space="preserve">du </w:t>
      </w:r>
      <w:r w:rsidR="005D6B10" w:rsidRPr="00080144">
        <w:rPr>
          <w:u w:val="single"/>
        </w:rPr>
        <w:t>support de diffusion</w:t>
      </w:r>
      <w:r w:rsidR="005D6B10">
        <w:t>, pour des raisons éditoriales</w:t>
      </w:r>
      <w:r w:rsidR="008478F6">
        <w:t> </w:t>
      </w:r>
      <w:r w:rsidR="009530AA">
        <w:t>(liste des agrégats comptables plus ou moins</w:t>
      </w:r>
      <w:r w:rsidR="008478F6">
        <w:t xml:space="preserve"> détaillé</w:t>
      </w:r>
      <w:r w:rsidR="009530AA">
        <w:t>e</w:t>
      </w:r>
      <w:r w:rsidR="008478F6">
        <w:t xml:space="preserve"> </w:t>
      </w:r>
      <w:r w:rsidR="009530AA">
        <w:t>selon le format de la publication)</w:t>
      </w:r>
      <w:r w:rsidR="005D6B10">
        <w:t xml:space="preserve">. </w:t>
      </w:r>
    </w:p>
    <w:p w:rsidR="008478F6" w:rsidRDefault="007119A5" w:rsidP="007119A5">
      <w:pPr>
        <w:ind w:left="284"/>
        <w:jc w:val="both"/>
      </w:pPr>
      <w:r>
        <w:t>- Il</w:t>
      </w:r>
      <w:r w:rsidR="00D43C0E">
        <w:t xml:space="preserve"> peut </w:t>
      </w:r>
      <w:r w:rsidR="009530AA">
        <w:t>dépendre</w:t>
      </w:r>
      <w:r w:rsidR="00D43C0E">
        <w:t xml:space="preserve"> </w:t>
      </w:r>
      <w:r w:rsidR="008478F6">
        <w:t xml:space="preserve">également </w:t>
      </w:r>
      <w:r w:rsidR="009530AA" w:rsidRPr="00080144">
        <w:rPr>
          <w:u w:val="single"/>
        </w:rPr>
        <w:t>du</w:t>
      </w:r>
      <w:r w:rsidR="004F129A" w:rsidRPr="00080144">
        <w:rPr>
          <w:u w:val="single"/>
        </w:rPr>
        <w:t xml:space="preserve"> </w:t>
      </w:r>
      <w:r w:rsidR="004F129A" w:rsidRPr="000D2AB8">
        <w:rPr>
          <w:u w:val="single"/>
        </w:rPr>
        <w:t>niveau de collectivité</w:t>
      </w:r>
      <w:r w:rsidR="004F129A">
        <w:t xml:space="preserve"> (communes, intercommunalités, départements, régions, syndicats)</w:t>
      </w:r>
      <w:r w:rsidR="001D4315">
        <w:t> :</w:t>
      </w:r>
      <w:r w:rsidR="004F129A">
        <w:t xml:space="preserve"> certaines recettes fiscales ne sont par exemple perçues que par les régions et représentent </w:t>
      </w:r>
      <w:r>
        <w:t xml:space="preserve">pour elles </w:t>
      </w:r>
      <w:r w:rsidR="004F129A">
        <w:t>un montant important (</w:t>
      </w:r>
      <w:r w:rsidR="009E3BF5">
        <w:t xml:space="preserve">taxes sur les </w:t>
      </w:r>
      <w:r w:rsidR="004F129A">
        <w:t>cartes grises, par exemple) ; de même certaines dépenses ne concernent quasiment que les départements (dépenses sociales</w:t>
      </w:r>
      <w:r>
        <w:t>,</w:t>
      </w:r>
      <w:r w:rsidR="004F129A">
        <w:t xml:space="preserve"> par exemple).</w:t>
      </w:r>
      <w:r w:rsidR="008478F6">
        <w:t xml:space="preserve"> </w:t>
      </w:r>
    </w:p>
    <w:p w:rsidR="001D4315" w:rsidRDefault="007119A5" w:rsidP="007119A5">
      <w:pPr>
        <w:ind w:left="284"/>
        <w:jc w:val="both"/>
      </w:pPr>
      <w:r>
        <w:t>- </w:t>
      </w:r>
      <w:r w:rsidR="001D4315">
        <w:t xml:space="preserve">DESL </w:t>
      </w:r>
      <w:r w:rsidR="00D43C0E">
        <w:t xml:space="preserve">produit et </w:t>
      </w:r>
      <w:r w:rsidR="001D4315">
        <w:t xml:space="preserve">diffuse des statistiques sur </w:t>
      </w:r>
      <w:r w:rsidR="001D4315" w:rsidRPr="000D2AB8">
        <w:rPr>
          <w:u w:val="single"/>
        </w:rPr>
        <w:t>d</w:t>
      </w:r>
      <w:r w:rsidR="000D2AB8" w:rsidRPr="000D2AB8">
        <w:rPr>
          <w:u w:val="single"/>
        </w:rPr>
        <w:t>iver</w:t>
      </w:r>
      <w:r w:rsidR="001D4315" w:rsidRPr="000D2AB8">
        <w:rPr>
          <w:u w:val="single"/>
        </w:rPr>
        <w:t>s champs géographiques</w:t>
      </w:r>
      <w:r w:rsidR="000D2AB8">
        <w:t xml:space="preserve"> </w:t>
      </w:r>
      <w:r w:rsidR="001D4315">
        <w:t xml:space="preserve">: au niveau national </w:t>
      </w:r>
      <w:r w:rsidR="009E3BF5">
        <w:t>dans</w:t>
      </w:r>
      <w:r w:rsidR="001D4315">
        <w:t xml:space="preserve"> certaines publications, au niveau départemental ou régional </w:t>
      </w:r>
      <w:r w:rsidR="009E3BF5">
        <w:t>dans</w:t>
      </w:r>
      <w:r w:rsidR="001D4315">
        <w:t xml:space="preserve"> d’autres.</w:t>
      </w:r>
      <w:r w:rsidR="005D6B10">
        <w:t xml:space="preserve"> La DGCL</w:t>
      </w:r>
      <w:r w:rsidR="001D4315">
        <w:t xml:space="preserve"> n</w:t>
      </w:r>
      <w:r w:rsidR="005D6B10">
        <w:t>’a pas la responsabilité de la diffusion</w:t>
      </w:r>
      <w:r w:rsidR="001D4315">
        <w:t xml:space="preserve"> </w:t>
      </w:r>
      <w:r w:rsidR="005D6B10">
        <w:t>d</w:t>
      </w:r>
      <w:r w:rsidR="001D4315">
        <w:t>es données individuelles des collectivités du bloc communal (communes, groupements, syndicats) ; cette diffusion est assurée par la DGFiP, pour certains postes comptables</w:t>
      </w:r>
      <w:r w:rsidR="005D6B10">
        <w:t>, sur le site internet partagé avec la DGCL</w:t>
      </w:r>
      <w:r w:rsidR="001D4315">
        <w:t>.</w:t>
      </w:r>
      <w:r w:rsidR="00D43C0E">
        <w:rPr>
          <w:rStyle w:val="Appelnotedebasdep"/>
        </w:rPr>
        <w:footnoteReference w:id="1"/>
      </w:r>
      <w:r w:rsidR="009530AA">
        <w:t xml:space="preserve"> </w:t>
      </w:r>
    </w:p>
    <w:p w:rsidR="007E6418" w:rsidRDefault="007E6418">
      <w:pPr>
        <w:rPr>
          <w:b/>
        </w:rPr>
      </w:pPr>
      <w:r>
        <w:rPr>
          <w:b/>
        </w:rPr>
        <w:br w:type="page"/>
      </w:r>
    </w:p>
    <w:p w:rsidR="001D4315" w:rsidRPr="007E6418" w:rsidRDefault="007E6418" w:rsidP="004F129A">
      <w:pPr>
        <w:jc w:val="both"/>
        <w:rPr>
          <w:b/>
          <w:u w:val="single"/>
        </w:rPr>
      </w:pPr>
      <w:r w:rsidRPr="007E6418">
        <w:rPr>
          <w:b/>
          <w:u w:val="single"/>
        </w:rPr>
        <w:lastRenderedPageBreak/>
        <w:t>2 - SOURCES UTILISÉES</w:t>
      </w:r>
    </w:p>
    <w:p w:rsidR="00115EB3" w:rsidRDefault="00E35D2A" w:rsidP="004F129A">
      <w:pPr>
        <w:jc w:val="both"/>
      </w:pPr>
      <w:r>
        <w:t xml:space="preserve">La </w:t>
      </w:r>
      <w:r w:rsidRPr="000D2AB8">
        <w:rPr>
          <w:u w:val="single"/>
        </w:rPr>
        <w:t>Direction Générale des finances publiques</w:t>
      </w:r>
      <w:r w:rsidRPr="007119A5">
        <w:t xml:space="preserve"> </w:t>
      </w:r>
      <w:r>
        <w:t>(DGFIP)</w:t>
      </w:r>
      <w:r>
        <w:rPr>
          <w:rStyle w:val="Appelnotedebasdep"/>
        </w:rPr>
        <w:footnoteReference w:id="2"/>
      </w:r>
      <w:r>
        <w:t xml:space="preserve"> fournit </w:t>
      </w:r>
      <w:r w:rsidR="00D10EF9">
        <w:t>au DESL</w:t>
      </w:r>
      <w:r w:rsidR="00DA757D">
        <w:t xml:space="preserve"> </w:t>
      </w:r>
      <w:r w:rsidR="00115EB3">
        <w:t>deux</w:t>
      </w:r>
      <w:r>
        <w:t xml:space="preserve"> fichier</w:t>
      </w:r>
      <w:r w:rsidR="00115EB3">
        <w:t>s</w:t>
      </w:r>
      <w:r>
        <w:t xml:space="preserve"> exhaustif</w:t>
      </w:r>
      <w:r w:rsidR="00115EB3">
        <w:t>s</w:t>
      </w:r>
      <w:r>
        <w:t xml:space="preserve"> des comptes de l’ensemble des collectivités</w:t>
      </w:r>
      <w:r w:rsidR="0053716A">
        <w:t xml:space="preserve">, </w:t>
      </w:r>
      <w:r w:rsidR="009530AA">
        <w:t>au</w:t>
      </w:r>
      <w:r w:rsidR="0053716A">
        <w:t xml:space="preserve"> format SAS</w:t>
      </w:r>
      <w:r w:rsidR="00D10EF9">
        <w:t>, par l’intermédiaire d’une plateforme électronique</w:t>
      </w:r>
      <w:r>
        <w:t xml:space="preserve">. </w:t>
      </w:r>
    </w:p>
    <w:p w:rsidR="005F74A5" w:rsidRPr="007119A5" w:rsidRDefault="007119A5" w:rsidP="004F129A">
      <w:pPr>
        <w:jc w:val="both"/>
        <w:rPr>
          <w:b/>
        </w:rPr>
      </w:pPr>
      <w:r w:rsidRPr="007119A5">
        <w:rPr>
          <w:b/>
        </w:rPr>
        <w:t xml:space="preserve">2 </w:t>
      </w:r>
      <w:proofErr w:type="gramStart"/>
      <w:r w:rsidRPr="007119A5">
        <w:rPr>
          <w:b/>
        </w:rPr>
        <w:t>a -</w:t>
      </w:r>
      <w:proofErr w:type="gramEnd"/>
      <w:r w:rsidR="005F74A5" w:rsidRPr="007119A5">
        <w:rPr>
          <w:b/>
        </w:rPr>
        <w:t xml:space="preserve"> Les comptes de gestion</w:t>
      </w:r>
    </w:p>
    <w:p w:rsidR="00DA757D" w:rsidRDefault="00115EB3" w:rsidP="004F129A">
      <w:pPr>
        <w:jc w:val="both"/>
      </w:pPr>
      <w:r>
        <w:t>Le premier de ces</w:t>
      </w:r>
      <w:r w:rsidR="00DA757D">
        <w:t xml:space="preserve"> fichier</w:t>
      </w:r>
      <w:r>
        <w:t>s</w:t>
      </w:r>
      <w:r w:rsidR="00DA757D">
        <w:t xml:space="preserve"> comprend les balances </w:t>
      </w:r>
      <w:r w:rsidR="00DA757D">
        <w:rPr>
          <w:rFonts w:ascii="Arial" w:hAnsi="Arial" w:cs="Arial"/>
          <w:color w:val="000000"/>
          <w:sz w:val="20"/>
          <w:szCs w:val="20"/>
        </w:rPr>
        <w:t>des</w:t>
      </w:r>
      <w:r w:rsidR="00DA757D" w:rsidRPr="00DA757D">
        <w:t xml:space="preserve"> budgets principaux et annexes </w:t>
      </w:r>
      <w:r w:rsidR="00FE7224">
        <w:t xml:space="preserve">des comptes de gestion </w:t>
      </w:r>
      <w:r w:rsidR="00DA757D" w:rsidRPr="00DA757D">
        <w:t>des collectivités territoriales (Régions</w:t>
      </w:r>
      <w:r w:rsidR="00BF7F0F">
        <w:t xml:space="preserve"> et CTU</w:t>
      </w:r>
      <w:r w:rsidR="00DA757D" w:rsidRPr="00DA757D">
        <w:t>, départements, communes et établissements publics de coopération intercommunale</w:t>
      </w:r>
      <w:r w:rsidR="00BF7F0F">
        <w:t xml:space="preserve"> (EPCI) à fiscalité propre</w:t>
      </w:r>
      <w:r w:rsidR="00DA757D" w:rsidRPr="00DA757D">
        <w:t>) - France M</w:t>
      </w:r>
      <w:r w:rsidR="00DA757D">
        <w:t>é</w:t>
      </w:r>
      <w:r w:rsidR="00DA757D" w:rsidRPr="00DA757D">
        <w:t>tropol</w:t>
      </w:r>
      <w:r w:rsidR="00DA757D">
        <w:t>itaine</w:t>
      </w:r>
      <w:r w:rsidR="009530AA">
        <w:t xml:space="preserve"> + D</w:t>
      </w:r>
      <w:r w:rsidR="00DA757D" w:rsidRPr="00DA757D">
        <w:t xml:space="preserve">OM + </w:t>
      </w:r>
      <w:r w:rsidR="009530AA">
        <w:t>C</w:t>
      </w:r>
      <w:r w:rsidR="00DA757D" w:rsidRPr="00DA757D">
        <w:t>OM</w:t>
      </w:r>
      <w:r w:rsidR="00DA757D">
        <w:t>. Il s’accompagne d’un fichier Excel qui décrit la liste des variables et leurs modalités.</w:t>
      </w:r>
      <w:r w:rsidR="00DA757D" w:rsidRPr="00DA757D">
        <w:t xml:space="preserve"> </w:t>
      </w:r>
      <w:r w:rsidR="009530AA">
        <w:t>À partir de 2017, le fichier inclut aussi les syndicats de collectivités et les établissements publics locaux (EPL).</w:t>
      </w:r>
      <w:r>
        <w:t xml:space="preserve"> </w:t>
      </w:r>
    </w:p>
    <w:p w:rsidR="001D4315" w:rsidRDefault="00115EB3" w:rsidP="005F74A5">
      <w:pPr>
        <w:jc w:val="both"/>
      </w:pPr>
      <w:r>
        <w:t>Les balances des comptes de gestion contiennent les ventilations des comptes par fonction (</w:t>
      </w:r>
      <w:r w:rsidR="005F74A5">
        <w:t>transports, voirie, scolaire, culture, économie, social, etc.)</w:t>
      </w:r>
      <w:r w:rsidR="00BF7F0F">
        <w:t>.</w:t>
      </w:r>
    </w:p>
    <w:p w:rsidR="0053716A" w:rsidRDefault="00D954A3" w:rsidP="004F129A">
      <w:pPr>
        <w:jc w:val="both"/>
      </w:pPr>
      <w:r>
        <w:t xml:space="preserve">Les fichiers des balances sont </w:t>
      </w:r>
      <w:r w:rsidR="009530AA">
        <w:t xml:space="preserve">par ailleurs </w:t>
      </w:r>
      <w:r>
        <w:t>déposés par la DGFiP en open data sur le site data.gouv.fr</w:t>
      </w:r>
      <w:r>
        <w:rPr>
          <w:rStyle w:val="Appelnotedebasdep"/>
        </w:rPr>
        <w:footnoteReference w:id="3"/>
      </w:r>
      <w:r>
        <w:t>.</w:t>
      </w:r>
      <w:r w:rsidR="00BF7F0F">
        <w:t xml:space="preserve"> Lorsque la balance</w:t>
      </w:r>
      <w:r w:rsidR="00C87FBD">
        <w:t xml:space="preserve"> d’une collectivité est provisoire (valeur « PROV » de la variable BA</w:t>
      </w:r>
      <w:r w:rsidR="00BF7F0F">
        <w:t>L) elle</w:t>
      </w:r>
      <w:r w:rsidR="00C87FBD">
        <w:t xml:space="preserve"> n’est pas diffusé</w:t>
      </w:r>
      <w:r w:rsidR="00BF7F0F">
        <w:t>e</w:t>
      </w:r>
      <w:r w:rsidR="00C87FBD">
        <w:t xml:space="preserve"> en open data. Il manque donc des collectivités dans les fichiers en open </w:t>
      </w:r>
      <w:proofErr w:type="gramStart"/>
      <w:r w:rsidR="00C87FBD">
        <w:t>data</w:t>
      </w:r>
      <w:proofErr w:type="gramEnd"/>
      <w:r w:rsidR="00C87FBD">
        <w:t xml:space="preserve"> qui ne sont pas définitifs. En </w:t>
      </w:r>
      <w:r w:rsidR="005F74A5">
        <w:t xml:space="preserve">tant que service statistique ministériel, le DESL </w:t>
      </w:r>
      <w:r w:rsidR="00BF7F0F">
        <w:t>accède</w:t>
      </w:r>
      <w:r w:rsidR="005F74A5">
        <w:t xml:space="preserve"> en </w:t>
      </w:r>
      <w:r w:rsidR="00C87FBD">
        <w:t xml:space="preserve">revanche, dans les fichiers transmis par la DGFIP à la DGCL, </w:t>
      </w:r>
      <w:r w:rsidR="00BF7F0F">
        <w:t>aux balances de</w:t>
      </w:r>
      <w:r w:rsidR="005F74A5">
        <w:t xml:space="preserve"> </w:t>
      </w:r>
      <w:r w:rsidR="00C87FBD">
        <w:t>toutes les collectivités</w:t>
      </w:r>
      <w:r w:rsidR="005F74A5">
        <w:t>,</w:t>
      </w:r>
      <w:r w:rsidR="00C87FBD">
        <w:t xml:space="preserve"> avec </w:t>
      </w:r>
      <w:r w:rsidR="005F74A5">
        <w:t>une indication du caractère provisoire de la balance quand c’est le cas</w:t>
      </w:r>
      <w:r w:rsidR="00C87FBD">
        <w:t xml:space="preserve"> (</w:t>
      </w:r>
      <w:r w:rsidR="005F74A5">
        <w:t xml:space="preserve">dans ce cas, </w:t>
      </w:r>
      <w:r w:rsidR="00C87FBD">
        <w:t>tous les enregistrements de la balance de la collectivité sont considérés comme provisoires).</w:t>
      </w:r>
    </w:p>
    <w:p w:rsidR="005F74A5" w:rsidRDefault="00BF7F0F">
      <w:pPr>
        <w:rPr>
          <w:b/>
        </w:rPr>
      </w:pPr>
      <w:r>
        <w:rPr>
          <w:b/>
        </w:rPr>
        <w:t>2 b -</w:t>
      </w:r>
      <w:r w:rsidR="005F74A5">
        <w:rPr>
          <w:b/>
        </w:rPr>
        <w:t xml:space="preserve"> Les budgets primitifs</w:t>
      </w:r>
    </w:p>
    <w:p w:rsidR="005F74A5" w:rsidRDefault="005F74A5" w:rsidP="005F74A5">
      <w:pPr>
        <w:jc w:val="both"/>
      </w:pPr>
      <w:r>
        <w:t>Le deuxième fichier contient les balances</w:t>
      </w:r>
      <w:r w:rsidRPr="005F74A5">
        <w:rPr>
          <w:rFonts w:ascii="Arial" w:hAnsi="Arial" w:cs="Arial"/>
          <w:color w:val="000000"/>
          <w:sz w:val="20"/>
          <w:szCs w:val="20"/>
        </w:rPr>
        <w:t xml:space="preserve"> </w:t>
      </w:r>
      <w:r>
        <w:rPr>
          <w:rFonts w:ascii="Arial" w:hAnsi="Arial" w:cs="Arial"/>
          <w:color w:val="000000"/>
          <w:sz w:val="20"/>
          <w:szCs w:val="20"/>
        </w:rPr>
        <w:t>des</w:t>
      </w:r>
      <w:r w:rsidRPr="00DA757D">
        <w:t xml:space="preserve"> budgets principaux et annexes</w:t>
      </w:r>
      <w:r>
        <w:t xml:space="preserve"> des budgets primitifs des collectivités locales -</w:t>
      </w:r>
      <w:r w:rsidRPr="005F74A5">
        <w:t xml:space="preserve"> </w:t>
      </w:r>
      <w:r w:rsidRPr="00DA757D">
        <w:t>France M</w:t>
      </w:r>
      <w:r>
        <w:t>é</w:t>
      </w:r>
      <w:r w:rsidRPr="00DA757D">
        <w:t>tropol</w:t>
      </w:r>
      <w:r>
        <w:t>itaine + D</w:t>
      </w:r>
      <w:r w:rsidRPr="00DA757D">
        <w:t>OM</w:t>
      </w:r>
      <w:r>
        <w:t xml:space="preserve">. </w:t>
      </w:r>
      <w:r w:rsidR="00D10EF9">
        <w:t xml:space="preserve"> Ce sont les budgets prévisionnels, votés en début d’année.</w:t>
      </w:r>
    </w:p>
    <w:p w:rsidR="005F74A5" w:rsidRDefault="005F74A5" w:rsidP="005F74A5">
      <w:pPr>
        <w:jc w:val="both"/>
      </w:pPr>
      <w:r>
        <w:t xml:space="preserve">Les variables des balances des budgets primitifs sont moins nombreuses que celles des comptes de gestion : </w:t>
      </w:r>
    </w:p>
    <w:p w:rsidR="005F74A5" w:rsidRDefault="005F74A5" w:rsidP="005F74A5">
      <w:pPr>
        <w:jc w:val="both"/>
      </w:pPr>
      <w:r>
        <w:t>- Il n’y  a pas les balances d’entrée et de sortie (ce qui ne permet donc pas de calculer directement l’encours de la dette au 31/12), mais seulement des variables de flux ;</w:t>
      </w:r>
    </w:p>
    <w:p w:rsidR="005F74A5" w:rsidRDefault="005F74A5" w:rsidP="005F74A5">
      <w:pPr>
        <w:jc w:val="both"/>
      </w:pPr>
      <w:r>
        <w:t>- Il n’y a pas les variables d’opérations d’ordre budgétaire, les flux sont directement enregistrés en opérations réelles (voir plus loin) ;</w:t>
      </w:r>
    </w:p>
    <w:p w:rsidR="00BF7F0F" w:rsidRDefault="005F74A5" w:rsidP="005F74A5">
      <w:pPr>
        <w:jc w:val="both"/>
      </w:pPr>
      <w:r>
        <w:t>- Il n’y  a pas de ventilation par fonction.</w:t>
      </w:r>
    </w:p>
    <w:p w:rsidR="007E6418" w:rsidRDefault="00BF7F0F" w:rsidP="005F74A5">
      <w:pPr>
        <w:jc w:val="both"/>
        <w:rPr>
          <w:b/>
        </w:rPr>
      </w:pPr>
      <w:r>
        <w:t>Les balances des budgets primitifs ne sont pas diffusés en open data par la DGFIP.</w:t>
      </w:r>
      <w:r w:rsidR="007E6418">
        <w:rPr>
          <w:b/>
        </w:rPr>
        <w:br w:type="page"/>
      </w:r>
    </w:p>
    <w:p w:rsidR="00A757EC" w:rsidRPr="007E6418" w:rsidRDefault="007E6418" w:rsidP="004F129A">
      <w:pPr>
        <w:jc w:val="both"/>
        <w:rPr>
          <w:b/>
          <w:u w:val="single"/>
        </w:rPr>
      </w:pPr>
      <w:r w:rsidRPr="007E6418">
        <w:rPr>
          <w:b/>
          <w:u w:val="single"/>
        </w:rPr>
        <w:lastRenderedPageBreak/>
        <w:t>3 - SPÉCIFICATIONS D’ÉLABORATION DES STATISTIQUES COMPTABLES</w:t>
      </w:r>
    </w:p>
    <w:p w:rsidR="007D44CA" w:rsidRPr="007E6418" w:rsidRDefault="00113447" w:rsidP="004F129A">
      <w:pPr>
        <w:jc w:val="both"/>
        <w:rPr>
          <w:b/>
        </w:rPr>
      </w:pPr>
      <w:r w:rsidRPr="007E6418">
        <w:rPr>
          <w:b/>
        </w:rPr>
        <w:t>3</w:t>
      </w:r>
      <w:r w:rsidR="002F23D5" w:rsidRPr="007E6418">
        <w:rPr>
          <w:b/>
        </w:rPr>
        <w:t xml:space="preserve"> </w:t>
      </w:r>
      <w:r w:rsidR="007D44CA" w:rsidRPr="007E6418">
        <w:rPr>
          <w:b/>
        </w:rPr>
        <w:t xml:space="preserve">a - </w:t>
      </w:r>
      <w:r w:rsidR="00CF069C" w:rsidRPr="007E6418">
        <w:rPr>
          <w:b/>
        </w:rPr>
        <w:t>Structure du</w:t>
      </w:r>
      <w:r w:rsidR="007D44CA" w:rsidRPr="007E6418">
        <w:rPr>
          <w:b/>
        </w:rPr>
        <w:t xml:space="preserve"> fichier des balances</w:t>
      </w:r>
      <w:r w:rsidR="005F74A5">
        <w:rPr>
          <w:b/>
        </w:rPr>
        <w:t xml:space="preserve"> des comptes de gestion</w:t>
      </w:r>
      <w:r w:rsidR="00D913A1">
        <w:rPr>
          <w:b/>
        </w:rPr>
        <w:t xml:space="preserve"> et des budgets primitifs</w:t>
      </w:r>
    </w:p>
    <w:p w:rsidR="00663D1C" w:rsidRDefault="007D44CA" w:rsidP="004F129A">
      <w:pPr>
        <w:jc w:val="both"/>
      </w:pPr>
      <w:r>
        <w:t xml:space="preserve">Les variables financières du fichier des balances </w:t>
      </w:r>
      <w:r w:rsidR="00D913A1">
        <w:t xml:space="preserve">des </w:t>
      </w:r>
      <w:r w:rsidR="00D913A1" w:rsidRPr="00D913A1">
        <w:rPr>
          <w:u w:val="single"/>
        </w:rPr>
        <w:t>comptes de gestion</w:t>
      </w:r>
      <w:r w:rsidR="00D913A1">
        <w:t xml:space="preserve"> </w:t>
      </w:r>
      <w:r>
        <w:t>so</w:t>
      </w:r>
      <w:r w:rsidR="00663D1C">
        <w:t>nt au nombre de 10 (cf</w:t>
      </w:r>
      <w:r w:rsidR="00BF7F0F">
        <w:t>.</w:t>
      </w:r>
      <w:r w:rsidR="00663D1C">
        <w:t xml:space="preserve"> annexe 2). Elles présentent le débit</w:t>
      </w:r>
      <w:r w:rsidR="00377B63">
        <w:t xml:space="preserve"> (DEB)</w:t>
      </w:r>
      <w:r w:rsidR="00663D1C">
        <w:t xml:space="preserve"> et le crédit</w:t>
      </w:r>
      <w:r w:rsidR="00CF069C">
        <w:t> </w:t>
      </w:r>
      <w:r w:rsidR="00377B63">
        <w:t xml:space="preserve">(CRE) </w:t>
      </w:r>
      <w:r w:rsidR="00CF069C">
        <w:t>:</w:t>
      </w:r>
      <w:r w:rsidR="00663D1C">
        <w:t xml:space="preserve"> de la balance d’entrée (2 variables</w:t>
      </w:r>
      <w:r w:rsidR="009F6934">
        <w:t> : BEDEB, BECRE</w:t>
      </w:r>
      <w:r w:rsidR="00663D1C">
        <w:t>), des opérations budgétaires (2</w:t>
      </w:r>
      <w:r w:rsidR="009F6934">
        <w:t> : OBNETDEB, OBNETCRE</w:t>
      </w:r>
      <w:r w:rsidR="00663D1C">
        <w:t>), des opérations non budgétaires (2</w:t>
      </w:r>
      <w:r w:rsidR="009F6934">
        <w:t> : ONBDEB, ONBCRE</w:t>
      </w:r>
      <w:r w:rsidR="00663D1C">
        <w:t>) et des opérations d’ordre budgétaire (2</w:t>
      </w:r>
      <w:r w:rsidR="009F6934">
        <w:t> : OOBDEB, OOBCRE</w:t>
      </w:r>
      <w:r w:rsidR="00663D1C">
        <w:t>). Les soldes débiteur et créditeur</w:t>
      </w:r>
      <w:r w:rsidR="009F6934">
        <w:t xml:space="preserve"> </w:t>
      </w:r>
      <w:r w:rsidR="00663D1C">
        <w:t>sont calculés à partir des variables précédentes et sont inclus dans le fichier DGFiP (2</w:t>
      </w:r>
      <w:r w:rsidR="009F6934">
        <w:t> : SD, SC</w:t>
      </w:r>
      <w:r w:rsidR="000D341A">
        <w:t> ; voir annexe 2 pour les formules de calcul</w:t>
      </w:r>
      <w:r w:rsidR="00663D1C">
        <w:t>).</w:t>
      </w:r>
      <w:r w:rsidR="000D341A">
        <w:t xml:space="preserve"> À ces 10 variables financières s’ajoute la variable FONCTION qui donne le code de la ventilation fonctionnelle des dépenses ou des recettes.</w:t>
      </w:r>
    </w:p>
    <w:p w:rsidR="00D913A1" w:rsidRDefault="00D913A1" w:rsidP="004F129A">
      <w:pPr>
        <w:jc w:val="both"/>
      </w:pPr>
      <w:r>
        <w:t xml:space="preserve">Les variables financières du fichier des </w:t>
      </w:r>
      <w:r w:rsidRPr="00BF7F0F">
        <w:rPr>
          <w:u w:val="single"/>
        </w:rPr>
        <w:t>budgets primitifs</w:t>
      </w:r>
      <w:r>
        <w:t xml:space="preserve"> sont au nombre de 2 : </w:t>
      </w:r>
      <w:r w:rsidR="005158B9">
        <w:t>le montant des recettes (MTBP_R) et les dépenses (MTBP_D). Il n’y a pas de ventilation par fonction.</w:t>
      </w:r>
    </w:p>
    <w:p w:rsidR="006808FD" w:rsidRDefault="007D5FC5" w:rsidP="004F129A">
      <w:pPr>
        <w:jc w:val="both"/>
      </w:pPr>
      <w:r>
        <w:t xml:space="preserve">Les </w:t>
      </w:r>
      <w:r w:rsidR="006808FD">
        <w:t xml:space="preserve">balances des </w:t>
      </w:r>
      <w:r>
        <w:t xml:space="preserve">collectivités </w:t>
      </w:r>
      <w:r w:rsidR="00377B63" w:rsidRPr="00377B63">
        <w:rPr>
          <w:u w:val="single"/>
        </w:rPr>
        <w:t>ventilent les comptes par nature</w:t>
      </w:r>
      <w:r w:rsidR="00377B63">
        <w:t xml:space="preserve"> (achats, salaires, subvention</w:t>
      </w:r>
      <w:r w:rsidR="00BF7F0F">
        <w:t>s</w:t>
      </w:r>
      <w:r w:rsidR="00377B63">
        <w:t xml:space="preserve">, etc.) </w:t>
      </w:r>
      <w:r>
        <w:t xml:space="preserve">au niveau le plus détaillé de </w:t>
      </w:r>
      <w:r w:rsidR="00377B63">
        <w:t>l’</w:t>
      </w:r>
      <w:r>
        <w:t>i</w:t>
      </w:r>
      <w:r w:rsidR="006808FD">
        <w:t>nstruction</w:t>
      </w:r>
      <w:r w:rsidR="00377B63" w:rsidRPr="00377B63">
        <w:t xml:space="preserve"> </w:t>
      </w:r>
      <w:r w:rsidR="00377B63">
        <w:t>budgétaire et comptable qui lui correspond (instructions dite M14 pour les communes, M52 pour les départements, M71 pour les régions, M57 comme nouvelle instruction transversale qui tend à remplacer toutes les autres, etc.)</w:t>
      </w:r>
      <w:r w:rsidR="00377B63">
        <w:rPr>
          <w:rStyle w:val="Appelnotedebasdep"/>
        </w:rPr>
        <w:footnoteReference w:id="4"/>
      </w:r>
      <w:r w:rsidR="00377B63">
        <w:t>.</w:t>
      </w:r>
      <w:r w:rsidR="006808FD">
        <w:t xml:space="preserve"> Par exemple, si une collectivité renseigne des</w:t>
      </w:r>
      <w:r w:rsidR="006808FD" w:rsidRPr="006808FD">
        <w:t xml:space="preserve"> </w:t>
      </w:r>
      <w:r w:rsidR="006808FD">
        <w:t>dépenses d’entretien de voiries (compte 615231)</w:t>
      </w:r>
      <w:r w:rsidR="00BF7F0F">
        <w:t>,</w:t>
      </w:r>
      <w:r w:rsidR="006808FD">
        <w:t xml:space="preserve"> </w:t>
      </w:r>
      <w:r w:rsidR="00424D6C">
        <w:t>le fichier</w:t>
      </w:r>
      <w:r w:rsidR="006808FD">
        <w:t xml:space="preserve"> ne renseigne pas les </w:t>
      </w:r>
      <w:r w:rsidR="00D95947">
        <w:t>comptes</w:t>
      </w:r>
      <w:r w:rsidR="006808FD">
        <w:t xml:space="preserve"> 61523, 6152, 615, 61 et 6 </w:t>
      </w:r>
      <w:r w:rsidR="00424D6C">
        <w:t xml:space="preserve">de cette collectivité </w:t>
      </w:r>
      <w:r w:rsidR="006808FD">
        <w:t>; ils seront calculés en dehors des balances</w:t>
      </w:r>
      <w:r w:rsidR="00424D6C">
        <w:t>,</w:t>
      </w:r>
      <w:r w:rsidR="006808FD">
        <w:t xml:space="preserve"> par agrégation avec </w:t>
      </w:r>
      <w:r w:rsidR="000D341A">
        <w:t>les</w:t>
      </w:r>
      <w:r w:rsidR="006808FD">
        <w:t xml:space="preserve"> autres </w:t>
      </w:r>
      <w:r w:rsidR="00D95947">
        <w:t>comptes</w:t>
      </w:r>
      <w:r w:rsidR="006808FD">
        <w:t xml:space="preserve"> de la classe 6 renseignés dans la balance</w:t>
      </w:r>
      <w:r>
        <w:t>.</w:t>
      </w:r>
    </w:p>
    <w:p w:rsidR="007D5FC5" w:rsidRDefault="00D913A1" w:rsidP="004F129A">
      <w:pPr>
        <w:jc w:val="both"/>
      </w:pPr>
      <w:r>
        <w:t>Dans les comptes de gestion, c</w:t>
      </w:r>
      <w:r w:rsidR="007D5FC5">
        <w:t xml:space="preserve">haque dépense </w:t>
      </w:r>
      <w:r w:rsidR="000D341A">
        <w:t xml:space="preserve">et chaque recette </w:t>
      </w:r>
      <w:r>
        <w:t xml:space="preserve">de fonctionnement et d’investissement est </w:t>
      </w:r>
      <w:r w:rsidR="007D5FC5">
        <w:t xml:space="preserve">de surcroit </w:t>
      </w:r>
      <w:proofErr w:type="gramStart"/>
      <w:r w:rsidR="007D5FC5" w:rsidRPr="00D913A1">
        <w:rPr>
          <w:u w:val="single"/>
        </w:rPr>
        <w:t>ventilée</w:t>
      </w:r>
      <w:proofErr w:type="gramEnd"/>
      <w:r w:rsidR="007D5FC5" w:rsidRPr="00D913A1">
        <w:rPr>
          <w:u w:val="single"/>
        </w:rPr>
        <w:t xml:space="preserve"> par fonction</w:t>
      </w:r>
      <w:r w:rsidR="007E5F50">
        <w:t xml:space="preserve"> (culture, transport, etc.)</w:t>
      </w:r>
      <w:r w:rsidR="007D5FC5">
        <w:t>.</w:t>
      </w:r>
      <w:r w:rsidR="000D341A">
        <w:t xml:space="preserve"> Contrairement à la ventilation par nature, la ventilation fonctionnelle n’est pas forcément renseignée au plus fin de la nomenclature. </w:t>
      </w:r>
      <w:r w:rsidR="00766E4B">
        <w:t>Par exemple c</w:t>
      </w:r>
      <w:r w:rsidR="000D341A">
        <w:t>ertaines collectivités vont renseigner une dépense culturelle avec le code « 31 » (expression artistique) et d’autres iront jusqu’à détailler le type d’expression artistique (« 313 » : théâtres</w:t>
      </w:r>
      <w:r w:rsidR="00DA67BA">
        <w:t>). L</w:t>
      </w:r>
      <w:r w:rsidR="000D341A">
        <w:t xml:space="preserve">’exploitation brute des codes de la ventilation fonctionnelle n’aboutit </w:t>
      </w:r>
      <w:r w:rsidR="00766E4B">
        <w:t xml:space="preserve">donc </w:t>
      </w:r>
      <w:r w:rsidR="000D341A">
        <w:t>pas à des sous-totaux emboités</w:t>
      </w:r>
      <w:r w:rsidR="00766E4B">
        <w:t> : la somme de tous les comptes en dessous de 31 (311, 312, 313 et 314 dans la M14 par exemple) ne donne pas forcément le compte 31</w:t>
      </w:r>
      <w:r w:rsidR="000D341A">
        <w:t xml:space="preserve">. </w:t>
      </w:r>
      <w:r>
        <w:t>Grâce au travail de la DGFIP, la qualité des fichiers à cet égard s’améliore toutefois chaque année.</w:t>
      </w:r>
    </w:p>
    <w:p w:rsidR="00766E4B" w:rsidRDefault="00766E4B" w:rsidP="004F129A">
      <w:pPr>
        <w:jc w:val="both"/>
        <w:rPr>
          <w:b/>
        </w:rPr>
      </w:pPr>
    </w:p>
    <w:p w:rsidR="006808FD" w:rsidRPr="007E6418" w:rsidRDefault="00113447" w:rsidP="004F129A">
      <w:pPr>
        <w:jc w:val="both"/>
        <w:rPr>
          <w:b/>
        </w:rPr>
      </w:pPr>
      <w:r w:rsidRPr="007E6418">
        <w:rPr>
          <w:b/>
        </w:rPr>
        <w:t>3</w:t>
      </w:r>
      <w:r w:rsidR="002F23D5" w:rsidRPr="007E6418">
        <w:rPr>
          <w:b/>
        </w:rPr>
        <w:t xml:space="preserve"> </w:t>
      </w:r>
      <w:r w:rsidR="006808FD" w:rsidRPr="007E6418">
        <w:rPr>
          <w:b/>
        </w:rPr>
        <w:t>b - Opérations budgétaires / opérations réelles</w:t>
      </w:r>
    </w:p>
    <w:p w:rsidR="007D44CA" w:rsidRDefault="006808FD" w:rsidP="004F129A">
      <w:pPr>
        <w:jc w:val="both"/>
      </w:pPr>
      <w:r>
        <w:t xml:space="preserve">Les </w:t>
      </w:r>
      <w:r w:rsidR="00766E4B">
        <w:t xml:space="preserve">deux </w:t>
      </w:r>
      <w:r>
        <w:t xml:space="preserve">variables </w:t>
      </w:r>
      <w:r w:rsidR="00766E4B">
        <w:t xml:space="preserve">OBNETDEB et OBNETCRE </w:t>
      </w:r>
      <w:r>
        <w:t>présentées ci-dessus</w:t>
      </w:r>
      <w:r w:rsidR="00663D1C">
        <w:t xml:space="preserve"> </w:t>
      </w:r>
      <w:r w:rsidR="00766E4B">
        <w:t>suffisent pour</w:t>
      </w:r>
      <w:r w:rsidR="00663D1C">
        <w:t xml:space="preserve"> élaborer les statistiques en opérations dites « budgétaires », celles diffusées par DESL jusqu’en 2016.</w:t>
      </w:r>
      <w:r>
        <w:t xml:space="preserve"> </w:t>
      </w:r>
    </w:p>
    <w:p w:rsidR="0053716A" w:rsidRDefault="00663D1C" w:rsidP="004F129A">
      <w:pPr>
        <w:jc w:val="both"/>
      </w:pPr>
      <w:r>
        <w:t xml:space="preserve">À partir de </w:t>
      </w:r>
      <w:r w:rsidR="005158B9">
        <w:t>l’exercice</w:t>
      </w:r>
      <w:r w:rsidR="00CF069C">
        <w:t xml:space="preserve"> </w:t>
      </w:r>
      <w:r w:rsidR="005158B9">
        <w:t>2012</w:t>
      </w:r>
      <w:r>
        <w:t xml:space="preserve">, DESL publie </w:t>
      </w:r>
      <w:r w:rsidR="005158B9">
        <w:t>désormais</w:t>
      </w:r>
      <w:r>
        <w:t xml:space="preserve"> </w:t>
      </w:r>
      <w:r w:rsidR="005158B9">
        <w:t>s</w:t>
      </w:r>
      <w:r>
        <w:t xml:space="preserve">es statistiques en </w:t>
      </w:r>
      <w:r w:rsidRPr="00424D6C">
        <w:rPr>
          <w:u w:val="single"/>
        </w:rPr>
        <w:t>opérations dites « réelles »</w:t>
      </w:r>
      <w:r>
        <w:t xml:space="preserve">, </w:t>
      </w:r>
      <w:r w:rsidR="006808FD">
        <w:t xml:space="preserve">qui correspondent aux seuls transferts monétaires effectifs. Elles présentent ainsi une vision plus économique de l’activité des collectivités locales. </w:t>
      </w:r>
      <w:r w:rsidR="007E5F50">
        <w:t>Cette publication a été rendue possible grâce à l’amélioration de la qualité des opérations d’ordre budgétaire dans les fichiers fiscaux</w:t>
      </w:r>
      <w:r w:rsidR="00CF069C">
        <w:t xml:space="preserve"> à partir de 2012</w:t>
      </w:r>
      <w:r w:rsidR="007E5F50">
        <w:t xml:space="preserve">. Ces opérations retracent des mouvements entre lignes budgétaires sans réel décaissement </w:t>
      </w:r>
      <w:r w:rsidR="007E5F50">
        <w:lastRenderedPageBreak/>
        <w:t>effectif. E</w:t>
      </w:r>
      <w:r w:rsidR="006808FD">
        <w:t xml:space="preserve">n débit </w:t>
      </w:r>
      <w:r w:rsidR="00D95947">
        <w:t xml:space="preserve">(DEB) </w:t>
      </w:r>
      <w:r w:rsidR="006808FD">
        <w:t>comme en crédit</w:t>
      </w:r>
      <w:r w:rsidR="00D95947">
        <w:t xml:space="preserve"> (CRE)</w:t>
      </w:r>
      <w:r w:rsidR="006808FD">
        <w:t xml:space="preserve">, l’opération </w:t>
      </w:r>
      <w:r w:rsidR="006808FD" w:rsidRPr="007E5F50">
        <w:rPr>
          <w:u w:val="single"/>
        </w:rPr>
        <w:t>réelle</w:t>
      </w:r>
      <w:r w:rsidR="00D95947">
        <w:t xml:space="preserve"> budgétaire</w:t>
      </w:r>
      <w:r w:rsidR="006808FD">
        <w:t xml:space="preserve"> (OR</w:t>
      </w:r>
      <w:r w:rsidR="00D95947">
        <w:t>B</w:t>
      </w:r>
      <w:r w:rsidR="006808FD">
        <w:t>) soustrait l’opération d’</w:t>
      </w:r>
      <w:r w:rsidR="006808FD" w:rsidRPr="007E5F50">
        <w:rPr>
          <w:u w:val="single"/>
        </w:rPr>
        <w:t>ordre</w:t>
      </w:r>
      <w:r w:rsidR="006808FD">
        <w:t xml:space="preserve"> </w:t>
      </w:r>
      <w:r w:rsidR="00D95947">
        <w:t xml:space="preserve">budgétaire (OOB) à l’opération </w:t>
      </w:r>
      <w:r w:rsidR="00D95947" w:rsidRPr="007E5F50">
        <w:rPr>
          <w:u w:val="single"/>
        </w:rPr>
        <w:t>budgétaire</w:t>
      </w:r>
      <w:r w:rsidR="00D95947">
        <w:t xml:space="preserve"> nette (OBNET)</w:t>
      </w:r>
      <w:r w:rsidR="007E5F50">
        <w:t>.</w:t>
      </w:r>
      <w:r w:rsidR="006808FD">
        <w:t xml:space="preserve"> </w:t>
      </w:r>
    </w:p>
    <w:p w:rsidR="008B6ED1" w:rsidRPr="008B6ED1" w:rsidRDefault="008B6ED1" w:rsidP="008B6ED1">
      <w:pPr>
        <w:autoSpaceDE w:val="0"/>
        <w:autoSpaceDN w:val="0"/>
        <w:adjustRightInd w:val="0"/>
        <w:spacing w:after="120" w:line="240" w:lineRule="auto"/>
        <w:rPr>
          <w:rFonts w:ascii="Courier New" w:hAnsi="Courier New" w:cs="Courier New"/>
          <w:i/>
          <w:color w:val="000000"/>
          <w:sz w:val="20"/>
          <w:szCs w:val="20"/>
          <w:shd w:val="clear" w:color="auto" w:fill="FFFFFF"/>
          <w:lang w:val="en-US"/>
        </w:rPr>
      </w:pPr>
      <w:r w:rsidRPr="008B6ED1">
        <w:rPr>
          <w:rFonts w:ascii="Courier New" w:hAnsi="Courier New" w:cs="Courier New"/>
          <w:i/>
          <w:color w:val="000000"/>
          <w:sz w:val="20"/>
          <w:szCs w:val="20"/>
          <w:shd w:val="clear" w:color="auto" w:fill="FFFFFF"/>
          <w:lang w:val="en-US"/>
        </w:rPr>
        <w:t>Transcription en SAS:</w:t>
      </w:r>
    </w:p>
    <w:p w:rsidR="006808FD" w:rsidRPr="00294927" w:rsidRDefault="006808FD" w:rsidP="006808FD">
      <w:pPr>
        <w:autoSpaceDE w:val="0"/>
        <w:autoSpaceDN w:val="0"/>
        <w:adjustRightInd w:val="0"/>
        <w:spacing w:after="0" w:line="240" w:lineRule="auto"/>
        <w:rPr>
          <w:rFonts w:ascii="Courier New" w:hAnsi="Courier New" w:cs="Courier New"/>
          <w:color w:val="000000"/>
          <w:sz w:val="20"/>
          <w:szCs w:val="20"/>
          <w:shd w:val="clear" w:color="auto" w:fill="FFFFFF"/>
          <w:lang w:val="en-US"/>
        </w:rPr>
      </w:pPr>
      <w:r w:rsidRPr="00294927">
        <w:rPr>
          <w:rFonts w:ascii="Courier New" w:hAnsi="Courier New" w:cs="Courier New"/>
          <w:color w:val="000000"/>
          <w:sz w:val="20"/>
          <w:szCs w:val="20"/>
          <w:shd w:val="clear" w:color="auto" w:fill="FFFFFF"/>
          <w:lang w:val="en-US"/>
        </w:rPr>
        <w:t>ORBDEB=</w:t>
      </w:r>
      <w:proofErr w:type="gramStart"/>
      <w:r w:rsidRPr="00294927">
        <w:rPr>
          <w:rFonts w:ascii="Courier New" w:hAnsi="Courier New" w:cs="Courier New"/>
          <w:color w:val="000000"/>
          <w:sz w:val="20"/>
          <w:szCs w:val="20"/>
          <w:shd w:val="clear" w:color="auto" w:fill="FFFFFF"/>
          <w:lang w:val="en-US"/>
        </w:rPr>
        <w:t>sum(</w:t>
      </w:r>
      <w:proofErr w:type="gramEnd"/>
      <w:r w:rsidRPr="00294927">
        <w:rPr>
          <w:rFonts w:ascii="Courier New" w:hAnsi="Courier New" w:cs="Courier New"/>
          <w:color w:val="000000"/>
          <w:sz w:val="20"/>
          <w:szCs w:val="20"/>
          <w:shd w:val="clear" w:color="auto" w:fill="FFFFFF"/>
          <w:lang w:val="en-US"/>
        </w:rPr>
        <w:t xml:space="preserve">OBNETDEB,-OOBDEB); </w:t>
      </w:r>
    </w:p>
    <w:p w:rsidR="006808FD" w:rsidRDefault="006808FD" w:rsidP="006808FD">
      <w:pPr>
        <w:jc w:val="both"/>
        <w:rPr>
          <w:rFonts w:ascii="Courier New" w:hAnsi="Courier New" w:cs="Courier New"/>
          <w:color w:val="000000"/>
          <w:sz w:val="20"/>
          <w:szCs w:val="20"/>
          <w:shd w:val="clear" w:color="auto" w:fill="FFFFFF"/>
          <w:lang w:val="en-US"/>
        </w:rPr>
      </w:pPr>
      <w:r w:rsidRPr="00294927">
        <w:rPr>
          <w:rFonts w:ascii="Courier New" w:hAnsi="Courier New" w:cs="Courier New"/>
          <w:color w:val="000000"/>
          <w:sz w:val="20"/>
          <w:szCs w:val="20"/>
          <w:shd w:val="clear" w:color="auto" w:fill="FFFFFF"/>
          <w:lang w:val="en-US"/>
        </w:rPr>
        <w:t>ORBCRE=</w:t>
      </w:r>
      <w:proofErr w:type="gramStart"/>
      <w:r w:rsidRPr="00294927">
        <w:rPr>
          <w:rFonts w:ascii="Courier New" w:hAnsi="Courier New" w:cs="Courier New"/>
          <w:color w:val="000000"/>
          <w:sz w:val="20"/>
          <w:szCs w:val="20"/>
          <w:shd w:val="clear" w:color="auto" w:fill="FFFFFF"/>
          <w:lang w:val="en-US"/>
        </w:rPr>
        <w:t>sum(</w:t>
      </w:r>
      <w:proofErr w:type="gramEnd"/>
      <w:r w:rsidRPr="00294927">
        <w:rPr>
          <w:rFonts w:ascii="Courier New" w:hAnsi="Courier New" w:cs="Courier New"/>
          <w:color w:val="000000"/>
          <w:sz w:val="20"/>
          <w:szCs w:val="20"/>
          <w:shd w:val="clear" w:color="auto" w:fill="FFFFFF"/>
          <w:lang w:val="en-US"/>
        </w:rPr>
        <w:t>OBNETCRE,-OOBCRE);</w:t>
      </w:r>
    </w:p>
    <w:p w:rsidR="005158B9" w:rsidRPr="00294927" w:rsidRDefault="005158B9" w:rsidP="006808FD">
      <w:pPr>
        <w:jc w:val="both"/>
        <w:rPr>
          <w:rFonts w:ascii="Courier New" w:hAnsi="Courier New" w:cs="Courier New"/>
          <w:color w:val="000000"/>
          <w:sz w:val="20"/>
          <w:szCs w:val="20"/>
          <w:shd w:val="clear" w:color="auto" w:fill="FFFFFF"/>
          <w:lang w:val="en-US"/>
        </w:rPr>
      </w:pPr>
    </w:p>
    <w:p w:rsidR="00424D6C" w:rsidRPr="007E6418" w:rsidRDefault="00424D6C" w:rsidP="00424D6C">
      <w:pPr>
        <w:jc w:val="both"/>
        <w:rPr>
          <w:b/>
        </w:rPr>
      </w:pPr>
      <w:r w:rsidRPr="007E6418">
        <w:rPr>
          <w:b/>
        </w:rPr>
        <w:t>3</w:t>
      </w:r>
      <w:r w:rsidR="002F23D5" w:rsidRPr="007E6418">
        <w:rPr>
          <w:b/>
        </w:rPr>
        <w:t xml:space="preserve"> </w:t>
      </w:r>
      <w:r w:rsidRPr="007E6418">
        <w:rPr>
          <w:b/>
        </w:rPr>
        <w:t>c - Budgets principaux / budgets annexes</w:t>
      </w:r>
    </w:p>
    <w:p w:rsidR="005158B9" w:rsidRDefault="000C6A44" w:rsidP="00424D6C">
      <w:pPr>
        <w:jc w:val="both"/>
      </w:pPr>
      <w:r>
        <w:t>Jusqu’en 2017, les statistiques produites et diffusées par DESL n’ont concerné que les budgets principaux des collectivités locales. Or</w:t>
      </w:r>
      <w:r w:rsidR="00DA67BA">
        <w:t>,</w:t>
      </w:r>
      <w:r>
        <w:t xml:space="preserve"> une collectivité peut </w:t>
      </w:r>
      <w:r w:rsidR="00CF069C">
        <w:t>préférer affecter</w:t>
      </w:r>
      <w:r>
        <w:t xml:space="preserve"> la gestion </w:t>
      </w:r>
      <w:r w:rsidR="00CF069C">
        <w:t xml:space="preserve">de </w:t>
      </w:r>
      <w:r>
        <w:t xml:space="preserve">certaines activités </w:t>
      </w:r>
      <w:r w:rsidR="00CF069C">
        <w:t>à</w:t>
      </w:r>
      <w:r>
        <w:t xml:space="preserve"> un budget annexe (assainissement de l’eau, distribution d’énergie, cantine scolaire, etc.). </w:t>
      </w:r>
      <w:r w:rsidR="005158B9">
        <w:t>L</w:t>
      </w:r>
      <w:r>
        <w:t>es budgets annexes des collectivités locales représentent</w:t>
      </w:r>
      <w:r w:rsidR="00DA67BA">
        <w:t>, de fait,</w:t>
      </w:r>
      <w:r>
        <w:t xml:space="preserve"> l’équivalent de 9% des dépenses totales de leurs budgets principaux</w:t>
      </w:r>
      <w:r>
        <w:rPr>
          <w:rStyle w:val="Appelnotedebasdep"/>
        </w:rPr>
        <w:footnoteReference w:id="5"/>
      </w:r>
      <w:r>
        <w:t xml:space="preserve">. DESL </w:t>
      </w:r>
      <w:r w:rsidR="005158B9">
        <w:t xml:space="preserve">assure désormais </w:t>
      </w:r>
      <w:r>
        <w:t>la publication des budgets annexes</w:t>
      </w:r>
      <w:r w:rsidR="005158B9">
        <w:t xml:space="preserve">, </w:t>
      </w:r>
      <w:r>
        <w:t xml:space="preserve">sur le </w:t>
      </w:r>
      <w:r w:rsidR="00DA67BA">
        <w:t xml:space="preserve">même </w:t>
      </w:r>
      <w:r>
        <w:t xml:space="preserve">modèle </w:t>
      </w:r>
      <w:r w:rsidR="005158B9">
        <w:t>que celui d</w:t>
      </w:r>
      <w:r>
        <w:t>e</w:t>
      </w:r>
      <w:r w:rsidR="005158B9">
        <w:t>s budgets principaux</w:t>
      </w:r>
      <w:r>
        <w:t>.</w:t>
      </w:r>
    </w:p>
    <w:p w:rsidR="000C6A44" w:rsidRPr="00424D6C" w:rsidRDefault="00375BF1" w:rsidP="00424D6C">
      <w:pPr>
        <w:jc w:val="both"/>
      </w:pPr>
      <w:r>
        <w:t xml:space="preserve"> </w:t>
      </w:r>
    </w:p>
    <w:p w:rsidR="00D95947" w:rsidRPr="007E6418" w:rsidRDefault="00113447" w:rsidP="00F805F8">
      <w:pPr>
        <w:jc w:val="both"/>
        <w:rPr>
          <w:b/>
        </w:rPr>
      </w:pPr>
      <w:r w:rsidRPr="007E6418">
        <w:rPr>
          <w:b/>
        </w:rPr>
        <w:t>3</w:t>
      </w:r>
      <w:r w:rsidR="002F23D5" w:rsidRPr="007E6418">
        <w:rPr>
          <w:b/>
        </w:rPr>
        <w:t xml:space="preserve"> </w:t>
      </w:r>
      <w:r w:rsidR="00424D6C" w:rsidRPr="007E6418">
        <w:rPr>
          <w:b/>
        </w:rPr>
        <w:t>d</w:t>
      </w:r>
      <w:r w:rsidR="005D0AE1" w:rsidRPr="007E6418">
        <w:rPr>
          <w:b/>
        </w:rPr>
        <w:t xml:space="preserve"> - Définition des agrégats comptables publiés</w:t>
      </w:r>
    </w:p>
    <w:p w:rsidR="00F805F8" w:rsidRDefault="00294927" w:rsidP="00F805F8">
      <w:pPr>
        <w:jc w:val="both"/>
      </w:pPr>
      <w:r>
        <w:t xml:space="preserve">Les agrégats comptables diffusés par DESL dans ses publications ont été définis sur la base d’un groupe de travail État-Départements, auquel participait la DGFiP (bureau CL2A). Les définitions pour les départements </w:t>
      </w:r>
      <w:r w:rsidR="00BA6AC0">
        <w:t xml:space="preserve">(en nomenclature M52) </w:t>
      </w:r>
      <w:r>
        <w:t>ont servi d’exemple pour déterminer le contour de ces agrégats comptables dans les nomenclatures propres aux communes (M14 et M14A), aux régions (M71)</w:t>
      </w:r>
      <w:r w:rsidR="00B67F9E">
        <w:t>, aux budgets annexes (M4, M41, M42, M43 et M43A, M49 et M49A</w:t>
      </w:r>
      <w:r w:rsidR="00773025">
        <w:t>, M</w:t>
      </w:r>
      <w:r w:rsidR="00DA67BA">
        <w:t>2</w:t>
      </w:r>
      <w:r w:rsidR="00773025">
        <w:t>2</w:t>
      </w:r>
      <w:r w:rsidR="00B67F9E">
        <w:t>),</w:t>
      </w:r>
      <w:r>
        <w:t xml:space="preserve"> et dans la nomenclature transversale</w:t>
      </w:r>
      <w:r w:rsidR="00367EFE">
        <w:t xml:space="preserve"> apparue en 2014 (M57),</w:t>
      </w:r>
      <w:r>
        <w:t xml:space="preserve"> </w:t>
      </w:r>
      <w:r w:rsidR="00572B29">
        <w:t xml:space="preserve">utilisée </w:t>
      </w:r>
      <w:r w:rsidR="00367EFE">
        <w:t xml:space="preserve">d’abord </w:t>
      </w:r>
      <w:r w:rsidR="00572B29">
        <w:t>par les</w:t>
      </w:r>
      <w:r w:rsidR="00C80340">
        <w:t xml:space="preserve"> métropoles et </w:t>
      </w:r>
      <w:r w:rsidR="00572B29">
        <w:t>les</w:t>
      </w:r>
      <w:r w:rsidR="00C80340">
        <w:t xml:space="preserve"> collectivités territoriales uniques (CTU)</w:t>
      </w:r>
      <w:r w:rsidR="00367EFE">
        <w:t xml:space="preserve">, puis de plus en plus </w:t>
      </w:r>
      <w:r w:rsidR="00DA67BA">
        <w:t xml:space="preserve">par </w:t>
      </w:r>
      <w:r w:rsidR="00367EFE">
        <w:t xml:space="preserve"> tous les niveaux de collectivités</w:t>
      </w:r>
      <w:r>
        <w:t xml:space="preserve">. </w:t>
      </w:r>
    </w:p>
    <w:p w:rsidR="00294927" w:rsidRDefault="003B3793" w:rsidP="00F805F8">
      <w:pPr>
        <w:jc w:val="both"/>
      </w:pPr>
      <w:r>
        <w:t>C</w:t>
      </w:r>
      <w:r w:rsidR="00EF379B">
        <w:t>es</w:t>
      </w:r>
      <w:r w:rsidR="00294927">
        <w:t xml:space="preserve"> définition</w:t>
      </w:r>
      <w:r w:rsidR="00EF379B">
        <w:t>s</w:t>
      </w:r>
      <w:r w:rsidR="00294927">
        <w:t>,</w:t>
      </w:r>
      <w:r w:rsidR="00294927" w:rsidRPr="00294927">
        <w:t xml:space="preserve"> </w:t>
      </w:r>
      <w:r w:rsidR="00294927">
        <w:t>en termes de numéro</w:t>
      </w:r>
      <w:r w:rsidR="00DA67BA">
        <w:t>s</w:t>
      </w:r>
      <w:r w:rsidR="00294927">
        <w:t xml:space="preserve"> de comptes retenus, </w:t>
      </w:r>
      <w:r w:rsidR="005158B9">
        <w:t xml:space="preserve">sont diffusés en ligne, dans les fichiers de diffusion des comptes (cf. </w:t>
      </w:r>
      <w:r w:rsidR="00294927">
        <w:t>annexe</w:t>
      </w:r>
      <w:r w:rsidR="00D5356E">
        <w:t>s</w:t>
      </w:r>
      <w:r w:rsidR="00EF379B">
        <w:t> </w:t>
      </w:r>
      <w:r w:rsidR="00294927">
        <w:t>3</w:t>
      </w:r>
      <w:r w:rsidR="00B67F9E">
        <w:t xml:space="preserve"> </w:t>
      </w:r>
      <w:r w:rsidR="00D5356E">
        <w:t xml:space="preserve">et 4 </w:t>
      </w:r>
      <w:r w:rsidR="00B67F9E">
        <w:t>de cette note</w:t>
      </w:r>
      <w:r w:rsidR="005158B9">
        <w:t>)</w:t>
      </w:r>
      <w:r w:rsidR="00294927">
        <w:t xml:space="preserve">. Par exemple la dépense correspondant aux frais de personnel est la somme de tous les débits nets des comptes </w:t>
      </w:r>
      <w:r w:rsidR="008B6ED1" w:rsidRPr="008B6ED1">
        <w:t xml:space="preserve">621, 631, 633, </w:t>
      </w:r>
      <w:r w:rsidR="008B6ED1">
        <w:t xml:space="preserve">ou </w:t>
      </w:r>
      <w:r w:rsidR="008B6ED1" w:rsidRPr="008B6ED1">
        <w:t>64</w:t>
      </w:r>
      <w:r w:rsidR="008B6ED1">
        <w:t xml:space="preserve">. C’est-à-dire de tous les débits nets </w:t>
      </w:r>
      <w:r w:rsidR="00EF379B">
        <w:t xml:space="preserve">(débit-crédit), </w:t>
      </w:r>
      <w:r w:rsidR="008B6ED1">
        <w:t xml:space="preserve">reportés par une collectivité dans un compte qui commence par </w:t>
      </w:r>
      <w:r w:rsidR="008B6ED1" w:rsidRPr="008B6ED1">
        <w:t>621, 631, 633, 64</w:t>
      </w:r>
      <w:r w:rsidR="00226052">
        <w:rPr>
          <w:rStyle w:val="Appelnotedebasdep"/>
        </w:rPr>
        <w:footnoteReference w:id="6"/>
      </w:r>
      <w:r w:rsidR="008B6ED1">
        <w:t>.</w:t>
      </w:r>
    </w:p>
    <w:p w:rsidR="00572B29" w:rsidRDefault="00572B29" w:rsidP="00F805F8">
      <w:pPr>
        <w:jc w:val="both"/>
      </w:pPr>
      <w:r>
        <w:t>Ces définitions s’écartent parfois légèrement de celles utilisées par la DGFiP pour les données individuelles publiées en ligne. Par exemple, les recettes couvrent tous les comptes de la classe 7 (tandis que la DGCL exclut les comptes 775, 776, 777 et 78</w:t>
      </w:r>
      <w:r w:rsidR="0070613F">
        <w:t xml:space="preserve">). </w:t>
      </w:r>
      <w:r w:rsidR="00773025">
        <w:t xml:space="preserve">Depuis 2017, la DGFIP publie aussi des agrégats </w:t>
      </w:r>
      <w:r w:rsidR="00916138">
        <w:t xml:space="preserve">de la section de fonctionnement </w:t>
      </w:r>
      <w:r w:rsidR="00773025">
        <w:t>dits « CAF » qui correspondent à ceux retenus par la DGCL.</w:t>
      </w:r>
      <w:r w:rsidR="00916138">
        <w:t xml:space="preserve"> Les agrégats de la section d’investissement restent en revanche différents de ceux de la DGCL.</w:t>
      </w:r>
    </w:p>
    <w:p w:rsidR="00D5356E" w:rsidRDefault="00D5356E" w:rsidP="00DA67BA">
      <w:pPr>
        <w:tabs>
          <w:tab w:val="left" w:pos="3300"/>
        </w:tabs>
        <w:jc w:val="both"/>
        <w:rPr>
          <w:b/>
        </w:rPr>
      </w:pPr>
    </w:p>
    <w:p w:rsidR="007035FA" w:rsidRPr="007E6418" w:rsidRDefault="00113447" w:rsidP="00F805F8">
      <w:pPr>
        <w:jc w:val="both"/>
        <w:rPr>
          <w:b/>
        </w:rPr>
      </w:pPr>
      <w:r w:rsidRPr="007E6418">
        <w:rPr>
          <w:b/>
        </w:rPr>
        <w:lastRenderedPageBreak/>
        <w:t>3</w:t>
      </w:r>
      <w:r w:rsidR="002F23D5" w:rsidRPr="007E6418">
        <w:rPr>
          <w:b/>
        </w:rPr>
        <w:t xml:space="preserve"> </w:t>
      </w:r>
      <w:r w:rsidR="00424D6C" w:rsidRPr="007E6418">
        <w:rPr>
          <w:b/>
        </w:rPr>
        <w:t>e</w:t>
      </w:r>
      <w:r w:rsidR="007035FA" w:rsidRPr="007E6418">
        <w:rPr>
          <w:b/>
        </w:rPr>
        <w:t xml:space="preserve"> - Les traitements avant publication des statistiques</w:t>
      </w:r>
    </w:p>
    <w:p w:rsidR="00715FB8" w:rsidRPr="00FE7224" w:rsidRDefault="00715FB8" w:rsidP="00715FB8">
      <w:pPr>
        <w:jc w:val="both"/>
        <w:rPr>
          <w:i/>
        </w:rPr>
      </w:pPr>
      <w:r w:rsidRPr="00FE7224">
        <w:rPr>
          <w:i/>
        </w:rPr>
        <w:t>- Apurement et redressement de</w:t>
      </w:r>
      <w:r w:rsidR="00BA23C1">
        <w:rPr>
          <w:i/>
        </w:rPr>
        <w:t>s comptes par nature</w:t>
      </w:r>
    </w:p>
    <w:p w:rsidR="007035FA" w:rsidRDefault="007035FA" w:rsidP="00F805F8">
      <w:pPr>
        <w:jc w:val="both"/>
      </w:pPr>
      <w:r>
        <w:t xml:space="preserve">À partir de la base fournie par la </w:t>
      </w:r>
      <w:proofErr w:type="spellStart"/>
      <w:r>
        <w:t>DGFiP</w:t>
      </w:r>
      <w:proofErr w:type="spellEnd"/>
      <w:r>
        <w:t xml:space="preserve">, </w:t>
      </w:r>
      <w:r w:rsidR="007C6D44">
        <w:t>tout</w:t>
      </w:r>
      <w:r>
        <w:t xml:space="preserve"> utilisateur doit pouvoir retrouver des résultats identiques</w:t>
      </w:r>
      <w:r w:rsidR="002F23D5">
        <w:t xml:space="preserve"> à ceux publiés par DESL</w:t>
      </w:r>
      <w:r>
        <w:t>. C’est pourquoi</w:t>
      </w:r>
      <w:r w:rsidR="0070613F">
        <w:t>, dans les données agrégées</w:t>
      </w:r>
      <w:r w:rsidR="00D24559">
        <w:t xml:space="preserve"> </w:t>
      </w:r>
      <w:r w:rsidR="00BA23C1">
        <w:t>par nature (salaires, achats, impôts etc.)</w:t>
      </w:r>
      <w:r w:rsidR="0070613F">
        <w:t>,</w:t>
      </w:r>
      <w:r>
        <w:t xml:space="preserve"> il n’est fait jusqu’en 2016 aucun traitement </w:t>
      </w:r>
      <w:r w:rsidR="00715FB8">
        <w:t xml:space="preserve">ou apurement </w:t>
      </w:r>
      <w:r>
        <w:t>de la base</w:t>
      </w:r>
      <w:r w:rsidR="00FE7224">
        <w:t xml:space="preserve"> par DESL</w:t>
      </w:r>
      <w:r>
        <w:t xml:space="preserve">, même lorsqu’on repère des invraisemblances sur de </w:t>
      </w:r>
      <w:r w:rsidR="00D5356E">
        <w:t xml:space="preserve">très </w:t>
      </w:r>
      <w:r>
        <w:t>rares cas particuliers.</w:t>
      </w:r>
    </w:p>
    <w:p w:rsidR="00FE7224" w:rsidRDefault="007035FA" w:rsidP="00F805F8">
      <w:pPr>
        <w:jc w:val="both"/>
      </w:pPr>
      <w:r>
        <w:t xml:space="preserve">En 2016, la création de la métropole du </w:t>
      </w:r>
      <w:r w:rsidR="007C4702">
        <w:t>G</w:t>
      </w:r>
      <w:r>
        <w:t xml:space="preserve">rand Paris </w:t>
      </w:r>
      <w:r w:rsidR="007C4702">
        <w:t xml:space="preserve">(MGP) </w:t>
      </w:r>
      <w:r>
        <w:t xml:space="preserve">perturbe cependant trop l’analyse de l’évolution des flux financiers entre 2015 et 2016. Des sommes très importantes, de l’ordre du milliard d’euros, sont </w:t>
      </w:r>
      <w:r w:rsidR="007C6D44">
        <w:t>en effet</w:t>
      </w:r>
      <w:r w:rsidR="00B67F9E">
        <w:t xml:space="preserve"> </w:t>
      </w:r>
      <w:r>
        <w:t xml:space="preserve">versées par les communes à un fond de compensation (le FCCT) pour compenser le fait qu’elles perçoivent désormais des recettes qui étaient autrefois perçues par les groupements. Il y a donc entre 2015 et 2016 augmentation parallèle </w:t>
      </w:r>
      <w:r w:rsidR="00B67F9E">
        <w:t xml:space="preserve">(et artificielle) </w:t>
      </w:r>
      <w:r w:rsidR="00D24559">
        <w:t xml:space="preserve">des recettes (fiscales) </w:t>
      </w:r>
      <w:r w:rsidR="007C6D44">
        <w:t xml:space="preserve">des communes de la MGP, </w:t>
      </w:r>
      <w:r w:rsidR="00D24559">
        <w:t xml:space="preserve">et </w:t>
      </w:r>
      <w:r>
        <w:t>de</w:t>
      </w:r>
      <w:r w:rsidR="007C6D44">
        <w:t xml:space="preserve"> </w:t>
      </w:r>
      <w:proofErr w:type="spellStart"/>
      <w:r w:rsidR="007C6D44">
        <w:t>leu</w:t>
      </w:r>
      <w:r>
        <w:t>s</w:t>
      </w:r>
      <w:proofErr w:type="spellEnd"/>
      <w:r>
        <w:t xml:space="preserve"> dépenses</w:t>
      </w:r>
      <w:r w:rsidR="00E27617">
        <w:t xml:space="preserve"> </w:t>
      </w:r>
      <w:r>
        <w:t xml:space="preserve">(versement au fonds de compensation). </w:t>
      </w:r>
      <w:r w:rsidR="00E27617">
        <w:t xml:space="preserve">De même, cette somme, touchée par les groupements </w:t>
      </w:r>
      <w:r w:rsidR="00C604F8">
        <w:t xml:space="preserve">de la MGP, </w:t>
      </w:r>
      <w:r w:rsidR="00E27617">
        <w:t xml:space="preserve">va affecter la signification économique du poste « subventions </w:t>
      </w:r>
      <w:r w:rsidR="00D24559">
        <w:t xml:space="preserve">reçues </w:t>
      </w:r>
      <w:r w:rsidR="00E27617">
        <w:t xml:space="preserve">et participations » des groupements. Ces flux perturbent l’analyse de l’évolution des comptes et </w:t>
      </w:r>
      <w:r w:rsidR="00B67F9E">
        <w:t xml:space="preserve">gêne </w:t>
      </w:r>
      <w:r w:rsidR="00E27617">
        <w:t xml:space="preserve">la comparaison des communes entre elles (ce sont en majorité </w:t>
      </w:r>
      <w:r w:rsidR="00B67F9E">
        <w:t xml:space="preserve">seulement </w:t>
      </w:r>
      <w:r w:rsidR="00E27617">
        <w:t xml:space="preserve">les grandes communes qui sont concernées). </w:t>
      </w:r>
      <w:r w:rsidR="002F23D5">
        <w:t>On décide alors de neutraliser c</w:t>
      </w:r>
      <w:r w:rsidR="00E27617">
        <w:t>es dépenses commun</w:t>
      </w:r>
      <w:r w:rsidR="002F23D5">
        <w:t>a</w:t>
      </w:r>
      <w:r w:rsidR="00DB0711">
        <w:t>l</w:t>
      </w:r>
      <w:r w:rsidR="00E27617">
        <w:t>es (en annulant l</w:t>
      </w:r>
      <w:r w:rsidR="00C604F8">
        <w:t>es</w:t>
      </w:r>
      <w:r w:rsidR="00E27617">
        <w:t xml:space="preserve"> somme</w:t>
      </w:r>
      <w:r w:rsidR="00C604F8">
        <w:t>s</w:t>
      </w:r>
      <w:r w:rsidR="00E27617">
        <w:t xml:space="preserve"> </w:t>
      </w:r>
      <w:r w:rsidR="00B67F9E">
        <w:t>portée</w:t>
      </w:r>
      <w:r w:rsidR="00C604F8">
        <w:t>s</w:t>
      </w:r>
      <w:r w:rsidR="00B67F9E">
        <w:t xml:space="preserve"> au</w:t>
      </w:r>
      <w:r w:rsidR="00E27617">
        <w:t xml:space="preserve"> compte 65541) et </w:t>
      </w:r>
      <w:r w:rsidR="00C604F8">
        <w:t>de</w:t>
      </w:r>
      <w:r w:rsidR="00E27617">
        <w:t xml:space="preserve"> les report</w:t>
      </w:r>
      <w:r w:rsidR="00C604F8">
        <w:t>er</w:t>
      </w:r>
      <w:r w:rsidR="00E27617">
        <w:t xml:space="preserve"> </w:t>
      </w:r>
      <w:r w:rsidR="00715FB8">
        <w:t>en moindre recette,</w:t>
      </w:r>
      <w:r w:rsidR="00715FB8" w:rsidRPr="00715FB8">
        <w:t xml:space="preserve"> </w:t>
      </w:r>
      <w:r w:rsidR="00715FB8">
        <w:t xml:space="preserve">dans le poste « fiscalité reversée » </w:t>
      </w:r>
      <w:r w:rsidR="00C604F8">
        <w:t xml:space="preserve">des communes </w:t>
      </w:r>
      <w:r w:rsidR="00715FB8">
        <w:t xml:space="preserve">(compte 7328). De même, dans le compte des groupements, la recette est annulée du poste de subventions et participations (compte 74752) et reportée en fiscalité reversée (compte 7328). </w:t>
      </w:r>
      <w:r w:rsidR="00D5356E">
        <w:t xml:space="preserve">Cette neutralisation est </w:t>
      </w:r>
      <w:r w:rsidR="007C6D44">
        <w:t>reconduite</w:t>
      </w:r>
      <w:r w:rsidR="00D5356E">
        <w:t xml:space="preserve"> chaque année.</w:t>
      </w:r>
    </w:p>
    <w:p w:rsidR="006F2B2F" w:rsidRDefault="00715FB8" w:rsidP="00F805F8">
      <w:pPr>
        <w:jc w:val="both"/>
      </w:pPr>
      <w:r>
        <w:t xml:space="preserve">C’est la seule entorse à la </w:t>
      </w:r>
      <w:r w:rsidR="007C4702">
        <w:t>présentation comptable des recettes et des dépenses</w:t>
      </w:r>
      <w:r>
        <w:t xml:space="preserve">. Ces spécifications sont décrites </w:t>
      </w:r>
      <w:r w:rsidR="006F2B2F">
        <w:t xml:space="preserve">en annexe </w:t>
      </w:r>
      <w:r w:rsidR="007C6D44">
        <w:t>3</w:t>
      </w:r>
      <w:r>
        <w:t>.</w:t>
      </w:r>
    </w:p>
    <w:p w:rsidR="007C6D44" w:rsidRPr="007C6D44" w:rsidRDefault="007C6D44" w:rsidP="007C6D44">
      <w:pPr>
        <w:spacing w:after="0"/>
        <w:jc w:val="both"/>
      </w:pPr>
    </w:p>
    <w:p w:rsidR="00BA23C1" w:rsidRDefault="00BA23C1" w:rsidP="007C6D44">
      <w:pPr>
        <w:jc w:val="both"/>
        <w:rPr>
          <w:i/>
        </w:rPr>
      </w:pPr>
      <w:r w:rsidRPr="00FE7224">
        <w:rPr>
          <w:i/>
        </w:rPr>
        <w:t>- Apurement et redressement de</w:t>
      </w:r>
      <w:r>
        <w:rPr>
          <w:i/>
        </w:rPr>
        <w:t>s comptes par fonction</w:t>
      </w:r>
    </w:p>
    <w:p w:rsidR="00BA23C1" w:rsidRDefault="007C6D44" w:rsidP="00BA23C1">
      <w:pPr>
        <w:jc w:val="both"/>
      </w:pPr>
      <w:r>
        <w:t xml:space="preserve">Comme pour les comptes par nature, les comptes par fonction ne sont pas identiques d’une instruction budgétaire et comptable à l’autre. Notamment, la M57, utilisée désormais par tous les niveaux de collectivités, ne ventile pas du tout de la même façon les fonctions que les communes (en M14) ou que les régions (en M71). </w:t>
      </w:r>
      <w:r w:rsidR="008A1257">
        <w:t>DESL a donc décidé de créer</w:t>
      </w:r>
      <w:r>
        <w:t xml:space="preserve"> </w:t>
      </w:r>
      <w:r w:rsidR="008A1257">
        <w:t>des</w:t>
      </w:r>
      <w:r>
        <w:t xml:space="preserve"> nomenclature</w:t>
      </w:r>
      <w:r w:rsidR="008A1257">
        <w:t>s</w:t>
      </w:r>
      <w:r>
        <w:t xml:space="preserve"> de diffusion</w:t>
      </w:r>
      <w:r w:rsidR="00BA23C1">
        <w:t xml:space="preserve"> homog</w:t>
      </w:r>
      <w:r w:rsidR="008A1257">
        <w:t>ènes pour chaque de collectivité</w:t>
      </w:r>
      <w:r w:rsidR="00BA23C1">
        <w:t>.</w:t>
      </w:r>
      <w:r w:rsidR="008A1257">
        <w:t xml:space="preserve"> Cette nomenclature se fonde plutôt sur celle de la M57 dans les tableaux de diffusion des communes et des EPCI, et adapte donc les ventilations de la M14 à celle de la M57. Pour les tableaux des départements et des régions, c’est la M57 qui est adaptée pour rejoindre les ventilations de la M52 ou de la M71. Un travail est en cours pour diffuser tous les niveaux de collectivités avec une seule décomposition fonctionnelle commune.</w:t>
      </w:r>
    </w:p>
    <w:p w:rsidR="00BA23C1" w:rsidRDefault="008A1257" w:rsidP="00BA23C1">
      <w:pPr>
        <w:jc w:val="both"/>
      </w:pPr>
      <w:r>
        <w:t>DESL redresse</w:t>
      </w:r>
      <w:r w:rsidR="00BA23C1">
        <w:t xml:space="preserve"> les codes des fonction</w:t>
      </w:r>
      <w:r w:rsidR="00DD37D1">
        <w:t>s</w:t>
      </w:r>
      <w:r>
        <w:t xml:space="preserve"> des fichiers bruts de la DGFIP</w:t>
      </w:r>
      <w:r w:rsidR="00BA23C1">
        <w:t xml:space="preserve">, qui </w:t>
      </w:r>
      <w:r w:rsidR="00DD37D1">
        <w:t>sont remplis parfois comme l’instruction le prévoit (par exemple dans la M14, 90 : interventions économiques</w:t>
      </w:r>
      <w:r w:rsidR="00916138">
        <w:t>,</w:t>
      </w:r>
      <w:r w:rsidR="00DD37D1">
        <w:t xml:space="preserve"> 91 : Foires et marchés, 92 : aides à l’agriculture…), parfois en combinant des codes de chapitres budgétaires (90 « Opérations </w:t>
      </w:r>
      <w:r w:rsidR="00A30211">
        <w:t xml:space="preserve">d’investissement </w:t>
      </w:r>
      <w:r w:rsidR="00DD37D1">
        <w:t>ventilées », 92 : « opérations non ventilées »</w:t>
      </w:r>
      <w:r w:rsidR="006F2B2F">
        <w:t xml:space="preserve">, </w:t>
      </w:r>
      <w:r w:rsidR="00DD37D1">
        <w:t xml:space="preserve">…) et des codes de fonction. Certains codes de chapitre budgétaire étant les mêmes que des codes de fonctions (ici : 90), il peut s’en suivre des confusions, qu’il s’agit de repérer pour les </w:t>
      </w:r>
      <w:r w:rsidR="006F2B2F">
        <w:t>redresser</w:t>
      </w:r>
      <w:r>
        <w:t xml:space="preserve"> correctement</w:t>
      </w:r>
      <w:r w:rsidR="006F2B2F">
        <w:t>.</w:t>
      </w:r>
    </w:p>
    <w:p w:rsidR="00E30A90" w:rsidRDefault="00E30A90" w:rsidP="00A30211">
      <w:pPr>
        <w:autoSpaceDE w:val="0"/>
        <w:autoSpaceDN w:val="0"/>
        <w:adjustRightInd w:val="0"/>
        <w:spacing w:after="0" w:line="240" w:lineRule="auto"/>
      </w:pPr>
    </w:p>
    <w:p w:rsidR="00715FB8" w:rsidRPr="00FE7224" w:rsidRDefault="00715FB8" w:rsidP="00F805F8">
      <w:pPr>
        <w:jc w:val="both"/>
        <w:rPr>
          <w:i/>
        </w:rPr>
      </w:pPr>
      <w:r w:rsidRPr="00FE7224">
        <w:rPr>
          <w:i/>
        </w:rPr>
        <w:t> </w:t>
      </w:r>
      <w:r w:rsidR="00FE7224" w:rsidRPr="00FE7224">
        <w:rPr>
          <w:i/>
        </w:rPr>
        <w:t xml:space="preserve">- Adaptation de la présentation des statistiques aux évolutions institutionnelles des collectivités </w:t>
      </w:r>
    </w:p>
    <w:p w:rsidR="007C4702" w:rsidRDefault="00FE7224" w:rsidP="007A1504">
      <w:pPr>
        <w:jc w:val="both"/>
      </w:pPr>
      <w:r w:rsidRPr="00FE7224">
        <w:t xml:space="preserve">La transformation du paysage administratif des collectivités locales entraine depuis </w:t>
      </w:r>
      <w:r>
        <w:t>2015</w:t>
      </w:r>
      <w:r w:rsidRPr="00FE7224">
        <w:t xml:space="preserve"> des modifications du contour des différents niveaux de collectivités dans des proportions importantes</w:t>
      </w:r>
      <w:r w:rsidR="007A1504">
        <w:t> :</w:t>
      </w:r>
      <w:r w:rsidRPr="00FE7224">
        <w:t xml:space="preserve"> </w:t>
      </w:r>
      <w:r w:rsidR="007A1504">
        <w:t>l</w:t>
      </w:r>
      <w:r w:rsidRPr="00FE7224">
        <w:t xml:space="preserve">a métropole de Lyon a été créée en 2015, la métropole du Grand Paris en 2016, les collectivités territoriales uniques </w:t>
      </w:r>
      <w:r w:rsidR="00E30A90">
        <w:t xml:space="preserve">(CTU) </w:t>
      </w:r>
      <w:r w:rsidRPr="00FE7224">
        <w:t>de Martinique et de Guyane en 2016 également</w:t>
      </w:r>
      <w:r w:rsidR="007C4702">
        <w:t xml:space="preserve">, </w:t>
      </w:r>
      <w:r w:rsidR="00E30A90">
        <w:t>en</w:t>
      </w:r>
      <w:r w:rsidR="007C4702">
        <w:t xml:space="preserve"> 2018 la collectivité de Corse</w:t>
      </w:r>
      <w:r w:rsidR="00E30A90">
        <w:t>, en 2019 la Ville de Paris (agrégeant le département et la commune)</w:t>
      </w:r>
      <w:r w:rsidRPr="00FE7224">
        <w:t xml:space="preserve">. </w:t>
      </w:r>
    </w:p>
    <w:p w:rsidR="006F2B2F" w:rsidRDefault="007C4702" w:rsidP="007A1504">
      <w:pPr>
        <w:jc w:val="both"/>
      </w:pPr>
      <w:r w:rsidRPr="004335BC">
        <w:rPr>
          <w:u w:val="single"/>
        </w:rPr>
        <w:t xml:space="preserve">DESL a choisi d’intégrer la métropole de Lyon dans les statistiques des EPCI, </w:t>
      </w:r>
      <w:r w:rsidR="008A1257">
        <w:rPr>
          <w:u w:val="single"/>
        </w:rPr>
        <w:t>d’agréger</w:t>
      </w:r>
      <w:r w:rsidRPr="004335BC">
        <w:rPr>
          <w:u w:val="single"/>
        </w:rPr>
        <w:t xml:space="preserve"> les CTU </w:t>
      </w:r>
      <w:r w:rsidR="008A1257">
        <w:rPr>
          <w:u w:val="single"/>
        </w:rPr>
        <w:t>et les</w:t>
      </w:r>
      <w:r w:rsidRPr="004335BC">
        <w:rPr>
          <w:u w:val="single"/>
        </w:rPr>
        <w:t xml:space="preserve"> régions</w:t>
      </w:r>
      <w:r w:rsidR="006F2B2F">
        <w:rPr>
          <w:u w:val="single"/>
        </w:rPr>
        <w:t>, et d’assimiler la Ville de Paris aux communes</w:t>
      </w:r>
      <w:r>
        <w:t>.</w:t>
      </w:r>
      <w:r w:rsidR="001B1C44">
        <w:t xml:space="preserve"> </w:t>
      </w:r>
    </w:p>
    <w:p w:rsidR="007C4702" w:rsidRDefault="001B1C44" w:rsidP="007A1504">
      <w:pPr>
        <w:jc w:val="both"/>
      </w:pPr>
      <w:r>
        <w:t>Par ailleurs, les 11 établissements publics territoriaux (EPT)</w:t>
      </w:r>
      <w:r w:rsidR="008A1257">
        <w:t>,</w:t>
      </w:r>
      <w:r>
        <w:t xml:space="preserve"> qui ont pris la place des 22 intercommunalités qui existaient avant la création de la métropole du Grand Paris</w:t>
      </w:r>
      <w:r w:rsidR="008A1257">
        <w:t>,</w:t>
      </w:r>
      <w:r>
        <w:t xml:space="preserve"> sont des syndicats</w:t>
      </w:r>
      <w:r w:rsidR="00D67608">
        <w:t xml:space="preserve"> (CTYPE=’425’)</w:t>
      </w:r>
      <w:r>
        <w:t>, mais ont été intégrés dans les statistiques des EPCI (leurs budgets principaux et leurs budgets annexes).</w:t>
      </w:r>
    </w:p>
    <w:p w:rsidR="007035FA" w:rsidRDefault="00FE7224" w:rsidP="00B21CE3">
      <w:pPr>
        <w:spacing w:after="60"/>
        <w:jc w:val="both"/>
      </w:pPr>
      <w:r w:rsidRPr="00FE7224">
        <w:t xml:space="preserve">Pour apprécier correctement l’évolution des finances des différents niveaux de collectivités (communes, </w:t>
      </w:r>
      <w:r>
        <w:t>groupements</w:t>
      </w:r>
      <w:r w:rsidRPr="00FE7224">
        <w:t>, départements, régions) il faut donc tenir compte des différents changements de périmètres que cela induit</w:t>
      </w:r>
      <w:r w:rsidR="008A1257">
        <w:rPr>
          <w:rStyle w:val="Appelnotedebasdep"/>
        </w:rPr>
        <w:footnoteReference w:id="7"/>
      </w:r>
      <w:r>
        <w:t> :</w:t>
      </w:r>
    </w:p>
    <w:p w:rsidR="00FE7224" w:rsidRPr="00FE7224" w:rsidRDefault="00FE7224" w:rsidP="00B21CE3">
      <w:pPr>
        <w:spacing w:after="60"/>
        <w:ind w:firstLine="709"/>
        <w:jc w:val="both"/>
      </w:pPr>
      <w:r w:rsidRPr="00FE7224">
        <w:t>- on retire du champ des groupements</w:t>
      </w:r>
      <w:r w:rsidR="00B21CE3">
        <w:t xml:space="preserve"> : </w:t>
      </w:r>
      <w:r w:rsidRPr="00FE7224">
        <w:t>en 2014 la communauté urbaine de Lyon, et en 2015 la métropole de Lyon</w:t>
      </w:r>
      <w:r w:rsidR="00DB0711">
        <w:t>. D</w:t>
      </w:r>
      <w:r w:rsidRPr="00FE7224">
        <w:t>e même, on retire du champ des départements</w:t>
      </w:r>
      <w:r w:rsidR="00B21CE3">
        <w:t> :</w:t>
      </w:r>
      <w:r w:rsidRPr="00FE7224">
        <w:t xml:space="preserve"> le conseil départemental du Rhône en 2014 et en 2015. Pour les évolutions entre 2015 et 2016 en revanche, la métropole de Lyon est intégrée dans le champ des </w:t>
      </w:r>
      <w:r w:rsidR="00C604F8">
        <w:t>groupements</w:t>
      </w:r>
      <w:r w:rsidRPr="00FE7224">
        <w:t xml:space="preserve"> sur les deux années.</w:t>
      </w:r>
    </w:p>
    <w:p w:rsidR="00FE7224" w:rsidRPr="00FE7224" w:rsidRDefault="00FE7224" w:rsidP="00E30A90">
      <w:pPr>
        <w:spacing w:after="60"/>
        <w:ind w:firstLine="709"/>
        <w:jc w:val="both"/>
      </w:pPr>
      <w:r w:rsidRPr="00FE7224">
        <w:t>- on retire en 2015 les départements et les régions de Martinique et Guyane, et en 2016 les collectivités territoriales uniques.</w:t>
      </w:r>
    </w:p>
    <w:p w:rsidR="00FE7224" w:rsidRDefault="00FE7224" w:rsidP="00E30A90">
      <w:pPr>
        <w:spacing w:after="60"/>
        <w:ind w:firstLine="709"/>
        <w:jc w:val="both"/>
      </w:pPr>
      <w:r w:rsidRPr="00FE7224">
        <w:t xml:space="preserve">- </w:t>
      </w:r>
      <w:r w:rsidR="00B21CE3">
        <w:t>on</w:t>
      </w:r>
      <w:r w:rsidRPr="00FE7224">
        <w:t xml:space="preserve"> soustrai</w:t>
      </w:r>
      <w:r w:rsidR="00B21CE3">
        <w:t>t</w:t>
      </w:r>
      <w:r w:rsidRPr="00FE7224">
        <w:t xml:space="preserve"> de l’analyse en 2015 et en 2016 les 131 communes et tous les EPCI touchés directement ou indirectement en 2016 par la création de la MGP</w:t>
      </w:r>
      <w:r w:rsidR="00B21CE3">
        <w:t>, mais seulement pour</w:t>
      </w:r>
      <w:r w:rsidRPr="00FE7224">
        <w:t xml:space="preserve"> </w:t>
      </w:r>
      <w:r w:rsidR="00B21CE3">
        <w:t>l</w:t>
      </w:r>
      <w:r w:rsidRPr="00FE7224">
        <w:t>es flux affect</w:t>
      </w:r>
      <w:r w:rsidR="00B21CE3">
        <w:t xml:space="preserve">és par cette création de la MGP </w:t>
      </w:r>
      <w:r w:rsidRPr="00FE7224">
        <w:t>: fiscalité reversée reçue par les communes, impôts locaux, DGF, et par répercussion au niveau supérieur d’agrégation, les postes « Concours de l’État », et « Impôts et taxes ».</w:t>
      </w:r>
    </w:p>
    <w:p w:rsidR="00916138" w:rsidRDefault="00E30A90" w:rsidP="00FE7224">
      <w:pPr>
        <w:ind w:firstLine="708"/>
        <w:jc w:val="both"/>
      </w:pPr>
      <w:r>
        <w:t>- e</w:t>
      </w:r>
      <w:r w:rsidR="00916138">
        <w:t>tc. (Corse, Ville de Paris).</w:t>
      </w:r>
    </w:p>
    <w:p w:rsidR="00062B1E" w:rsidRDefault="00062B1E" w:rsidP="00F805F8">
      <w:pPr>
        <w:jc w:val="both"/>
      </w:pPr>
    </w:p>
    <w:p w:rsidR="004F79C9" w:rsidRDefault="007A1504" w:rsidP="00F805F8">
      <w:pPr>
        <w:jc w:val="both"/>
      </w:pPr>
      <w:r>
        <w:t>Dans les publications annuelles sur les finances des départements et des régions</w:t>
      </w:r>
      <w:r w:rsidR="006F2B2F">
        <w:t xml:space="preserve"> </w:t>
      </w:r>
      <w:r w:rsidR="00062B1E">
        <w:t>et sur leurs bud</w:t>
      </w:r>
      <w:r w:rsidR="00D10EF9">
        <w:t>g</w:t>
      </w:r>
      <w:r w:rsidR="00062B1E">
        <w:t xml:space="preserve">ets primitifs </w:t>
      </w:r>
      <w:r w:rsidR="006F2B2F">
        <w:t>(tableaux statistiques détaillés par département et par région)</w:t>
      </w:r>
      <w:r>
        <w:t xml:space="preserve">, les statistiques sur la métropole de Lyon et sur les CTU sont ajoutées en bas des tableaux, séparément des départements ou des régions, car ces collectivités exercent des compétences départementales (ou régionales). </w:t>
      </w:r>
      <w:r w:rsidR="00D67608">
        <w:t xml:space="preserve">Idem pour la Corse en 2018 et la Ville de Paris en 2019. </w:t>
      </w:r>
      <w:r>
        <w:t>L’utilisateur peut s’il le souhaite les prendre en compte.</w:t>
      </w:r>
    </w:p>
    <w:p w:rsidR="004335BC" w:rsidRDefault="004335BC" w:rsidP="00F805F8">
      <w:pPr>
        <w:jc w:val="both"/>
      </w:pPr>
    </w:p>
    <w:p w:rsidR="004335BC" w:rsidRPr="004335BC" w:rsidRDefault="004335BC" w:rsidP="00F805F8">
      <w:pPr>
        <w:jc w:val="both"/>
        <w:rPr>
          <w:i/>
        </w:rPr>
      </w:pPr>
      <w:r w:rsidRPr="004335BC">
        <w:rPr>
          <w:i/>
        </w:rPr>
        <w:lastRenderedPageBreak/>
        <w:t>- Ajustement de l’unité statistique des comptes et de l’unité statistique du Code officiel géographique (COG), pour apparier avec le recensement de la population</w:t>
      </w:r>
      <w:r w:rsidR="00062B1E">
        <w:rPr>
          <w:i/>
        </w:rPr>
        <w:t>(ou d’autres fichiers calés sur le COG)</w:t>
      </w:r>
    </w:p>
    <w:p w:rsidR="004335BC" w:rsidRDefault="004335BC" w:rsidP="00F805F8">
      <w:pPr>
        <w:jc w:val="both"/>
      </w:pPr>
      <w:r>
        <w:t>Chaque année</w:t>
      </w:r>
      <w:r w:rsidR="00E30A90">
        <w:t>,</w:t>
      </w:r>
      <w:r>
        <w:t xml:space="preserve"> des collectivités se créent, disparaissent, se regroupent</w:t>
      </w:r>
      <w:r w:rsidR="00E30A90">
        <w:t>,</w:t>
      </w:r>
      <w:r>
        <w:t xml:space="preserve"> etc. Le code officiel géographique </w:t>
      </w:r>
      <w:r w:rsidR="00916138">
        <w:t xml:space="preserve">(COG) </w:t>
      </w:r>
      <w:r>
        <w:t>retrace ces transformations et permet de publier les populations légales par communes (et donc par EPCI)</w:t>
      </w:r>
      <w:r w:rsidR="00062B1E">
        <w:t xml:space="preserve"> au 1</w:t>
      </w:r>
      <w:r w:rsidR="00062B1E" w:rsidRPr="00062B1E">
        <w:rPr>
          <w:vertAlign w:val="superscript"/>
        </w:rPr>
        <w:t>er</w:t>
      </w:r>
      <w:r w:rsidR="00062B1E">
        <w:t xml:space="preserve"> janvier</w:t>
      </w:r>
      <w:r>
        <w:t>.</w:t>
      </w:r>
    </w:p>
    <w:p w:rsidR="004335BC" w:rsidRDefault="004335BC" w:rsidP="00F805F8">
      <w:pPr>
        <w:jc w:val="both"/>
      </w:pPr>
      <w:r>
        <w:t xml:space="preserve">La production des balances comptables ne suit pas toujours exactement le même rythme que le COG, et il faut parfois ajuster la liste des budgets pour retomber sur </w:t>
      </w:r>
      <w:r w:rsidR="00DD4F64">
        <w:t>la liste</w:t>
      </w:r>
      <w:r>
        <w:t xml:space="preserve"> des communes</w:t>
      </w:r>
      <w:r w:rsidR="00DD4F64">
        <w:t xml:space="preserve"> au 1</w:t>
      </w:r>
      <w:r w:rsidR="00DD4F64" w:rsidRPr="00DD4F64">
        <w:rPr>
          <w:vertAlign w:val="superscript"/>
        </w:rPr>
        <w:t>er</w:t>
      </w:r>
      <w:r w:rsidR="00DD4F64">
        <w:t xml:space="preserve"> janvier</w:t>
      </w:r>
      <w:r>
        <w:t xml:space="preserve">. Par exemple, si </w:t>
      </w:r>
      <w:r w:rsidR="00DD4F64">
        <w:t>deux</w:t>
      </w:r>
      <w:r>
        <w:t xml:space="preserve"> commune</w:t>
      </w:r>
      <w:r w:rsidR="00DD4F64">
        <w:t>s</w:t>
      </w:r>
      <w:r>
        <w:t xml:space="preserve"> </w:t>
      </w:r>
      <w:r w:rsidR="00E30A90">
        <w:t>fusionnent</w:t>
      </w:r>
      <w:r w:rsidR="00DD4F64">
        <w:t xml:space="preserve"> en cours d’année et que cette nouvelle commune publie un budget</w:t>
      </w:r>
      <w:r w:rsidR="00916138">
        <w:t>,</w:t>
      </w:r>
      <w:r>
        <w:t xml:space="preserve"> </w:t>
      </w:r>
      <w:r w:rsidR="00DD4F64">
        <w:t>il y aura trois budgets pour l’exercice N</w:t>
      </w:r>
      <w:r w:rsidR="00062B1E">
        <w:t>,</w:t>
      </w:r>
      <w:r w:rsidR="00DD4F64">
        <w:t xml:space="preserve"> </w:t>
      </w:r>
      <w:r w:rsidR="00062B1E">
        <w:t>qui corresponde</w:t>
      </w:r>
      <w:r w:rsidR="00DD4F64">
        <w:t xml:space="preserve">nt à deux communes </w:t>
      </w:r>
      <w:r w:rsidR="00062B1E">
        <w:t xml:space="preserve">seulement qui existent </w:t>
      </w:r>
      <w:r w:rsidR="00DD4F64">
        <w:t>au 1</w:t>
      </w:r>
      <w:r w:rsidR="00DD4F64" w:rsidRPr="00DD4F64">
        <w:rPr>
          <w:vertAlign w:val="superscript"/>
        </w:rPr>
        <w:t>er</w:t>
      </w:r>
      <w:r w:rsidR="00DD4F64">
        <w:t xml:space="preserve"> janvier</w:t>
      </w:r>
      <w:r w:rsidR="00062B1E">
        <w:t xml:space="preserve"> de l’année</w:t>
      </w:r>
      <w:r w:rsidR="00DD4F64">
        <w:t xml:space="preserve"> N. Lorsqu’on apparie le fichier des comptes à celui des populations par commune (pour publier des statistiques par taille de commune), il faut donc</w:t>
      </w:r>
      <w:r w:rsidR="00062B1E">
        <w:t>, dans l’exemple précédent,</w:t>
      </w:r>
      <w:r w:rsidR="00DD4F64">
        <w:t xml:space="preserve"> imputer la somme des deux populations à la commune nouvelle formée des deux communes. La somme des populations risque alors de d</w:t>
      </w:r>
      <w:r w:rsidR="00964718">
        <w:t>épasser la population nationale.</w:t>
      </w:r>
      <w:r w:rsidR="00DD4F64">
        <w:t xml:space="preserve">  </w:t>
      </w:r>
      <w:r w:rsidR="00E30A90">
        <w:t>Idem</w:t>
      </w:r>
      <w:r w:rsidR="00BA23C1">
        <w:t xml:space="preserve"> pour les modifications de contour des EPCI, qui ne sont pas pris en compte au même moment dans le COG et dans les fichiers de la DGFiP. Il faut donc là aussi </w:t>
      </w:r>
      <w:r w:rsidR="00964718">
        <w:t xml:space="preserve">recréer </w:t>
      </w:r>
      <w:r w:rsidR="00BA23C1">
        <w:t xml:space="preserve">le contour correct des EPCI, </w:t>
      </w:r>
      <w:r w:rsidR="00E30A90">
        <w:t xml:space="preserve">parfois </w:t>
      </w:r>
      <w:r w:rsidR="00BA23C1">
        <w:t>en ventilant les montants par la population des communes qui les composent.</w:t>
      </w:r>
    </w:p>
    <w:p w:rsidR="00DD4F64" w:rsidRDefault="00DD4F64" w:rsidP="00F805F8">
      <w:pPr>
        <w:jc w:val="both"/>
      </w:pPr>
      <w:r>
        <w:t xml:space="preserve">Le nombre de communes (ou d’EPCI) dans la base des comptes n’est donc pas forcément rigoureusement égal à celui publié dans les documents statistiques relatifs aux communes et à l’intercommunalité (Collectivité locales en chiffres) ; il correspond plus exactement au nombre de budgets </w:t>
      </w:r>
      <w:r w:rsidR="00D10EF9">
        <w:t xml:space="preserve">principaux </w:t>
      </w:r>
      <w:r>
        <w:t xml:space="preserve">établis au cours de l’année et </w:t>
      </w:r>
      <w:r w:rsidR="009D0938">
        <w:t>remontés</w:t>
      </w:r>
      <w:r>
        <w:t xml:space="preserve"> à la </w:t>
      </w:r>
      <w:proofErr w:type="spellStart"/>
      <w:r>
        <w:t>DGFiP</w:t>
      </w:r>
      <w:proofErr w:type="spellEnd"/>
      <w:r>
        <w:t>.</w:t>
      </w:r>
      <w:r w:rsidR="00BA23C1">
        <w:t xml:space="preserve"> Cela est mentionné dans les publications annuelles détaillées des comptes des communes et des EPCI (tableaux statistiques).</w:t>
      </w:r>
    </w:p>
    <w:p w:rsidR="00DD4F64" w:rsidRDefault="00DD4F64">
      <w:pPr>
        <w:rPr>
          <w:b/>
        </w:rPr>
      </w:pPr>
    </w:p>
    <w:p w:rsidR="007E6418" w:rsidRPr="007A1504" w:rsidRDefault="007E6418">
      <w:r w:rsidRPr="007A1504">
        <w:br w:type="page"/>
      </w:r>
    </w:p>
    <w:p w:rsidR="008F5C7B" w:rsidRDefault="008F5C7B">
      <w:pPr>
        <w:rPr>
          <w:b/>
          <w:u w:val="single"/>
        </w:rPr>
      </w:pPr>
      <w:proofErr w:type="gramStart"/>
      <w:r>
        <w:rPr>
          <w:b/>
          <w:u w:val="single"/>
        </w:rPr>
        <w:lastRenderedPageBreak/>
        <w:t>4 )</w:t>
      </w:r>
      <w:proofErr w:type="gramEnd"/>
      <w:r>
        <w:rPr>
          <w:b/>
          <w:u w:val="single"/>
        </w:rPr>
        <w:t xml:space="preserve"> LA CONSOLIDATION DES COMPTES ENTRE BUDGETS PRINCIPAUX ET ANNEXES</w:t>
      </w:r>
    </w:p>
    <w:p w:rsidR="008F5C7B" w:rsidRPr="008F5C7B" w:rsidRDefault="008F5C7B" w:rsidP="008F5C7B">
      <w:pPr>
        <w:jc w:val="both"/>
      </w:pPr>
    </w:p>
    <w:p w:rsidR="008F5C7B" w:rsidRPr="008F5C7B" w:rsidRDefault="008F5C7B" w:rsidP="008F5C7B">
      <w:pPr>
        <w:jc w:val="both"/>
        <w:rPr>
          <w:b/>
        </w:rPr>
      </w:pPr>
      <w:r w:rsidRPr="008F5C7B">
        <w:rPr>
          <w:b/>
        </w:rPr>
        <w:t>4 a - Budgets annexes : définitions et précaution d’utilisation</w:t>
      </w:r>
    </w:p>
    <w:p w:rsidR="00457ACA" w:rsidRDefault="00457ACA" w:rsidP="00457ACA">
      <w:pPr>
        <w:jc w:val="both"/>
      </w:pPr>
      <w:proofErr w:type="gramStart"/>
      <w:r>
        <w:t>1 )</w:t>
      </w:r>
      <w:proofErr w:type="gramEnd"/>
      <w:r>
        <w:t xml:space="preserve"> Parallèlement au budget principal qu’elles élaborent, les collectivités locales peuvent créer des régies pour suivre l’exploitation directe d’un service public industriel et commercial (SPIC) ou pour individualiser la gestion d’un service public administratif (SPA) relevant de leur compétence. Ces régies ont pour objet d’établir le coût réel d’un service et, s’agissant des SPIC,</w:t>
      </w:r>
      <w:r w:rsidR="00062B1E">
        <w:t xml:space="preserve"> de</w:t>
      </w:r>
      <w:r>
        <w:t xml:space="preserve"> s’assurer qu’il est financé par les ressources liées à l’exploitation de l’activité. On peut alors qualifier de budget annexe le budget d’une régie, créé en vertu des dispositions de l’article L. 2221-1 et suivants du CGCT, distinct du budget proprement dit, mais voté par l’assemblée délibérante de la collectivité territoriale. Il se distingue en cela des budgets « autonomes », ou « propres », qui sont votés par l’organe délibérant de la régie. Il n’existe pas de définition législative des budgets annexes.</w:t>
      </w:r>
    </w:p>
    <w:p w:rsidR="00457ACA" w:rsidRDefault="00457ACA" w:rsidP="00457ACA">
      <w:pPr>
        <w:jc w:val="both"/>
      </w:pPr>
      <w:r>
        <w:t>Les organes délibérants peuvent créer une régie dotée de la seule autonomie financière pour la gestion de ses services publics. Pour suivre toute compétence d’un SPA, les collectivités peuvent, si elles le souhaitent, créer un budget, alors soumis à l’instruction budgétaire de la collectivité de rattachement (ex : M14 pour les communes). S’agissant d’un SPIC, le recours au budget annexe constitue en revanche une obligation (article L. 2224-1 et L. 3241-4 du CGCT). Ces budgets doivent être équilibrés et sont soumis à une instruction spécifique M4. Les collectivités ne peuvent pas prendre en charge dans leur budget propre des dépenses au titre du SPIC.</w:t>
      </w:r>
    </w:p>
    <w:p w:rsidR="008843A1" w:rsidRDefault="008843A1" w:rsidP="008843A1">
      <w:pPr>
        <w:jc w:val="both"/>
      </w:pPr>
      <w:r w:rsidRPr="008F5C7B">
        <w:t xml:space="preserve">Les définitions des agrégats comptables selon les différentes nomenclatures comptables (instructions budgétaires) sont détaillées dans le tableau </w:t>
      </w:r>
      <w:r>
        <w:t xml:space="preserve">des définitions </w:t>
      </w:r>
      <w:r w:rsidRPr="008F5C7B">
        <w:t>mis en ligne avec l</w:t>
      </w:r>
      <w:r>
        <w:t xml:space="preserve">es tableaux statistiques publiés (annexe </w:t>
      </w:r>
      <w:r w:rsidR="00062B1E">
        <w:t>3</w:t>
      </w:r>
      <w:r>
        <w:t>)</w:t>
      </w:r>
      <w:r w:rsidRPr="008F5C7B">
        <w:t xml:space="preserve">. Les </w:t>
      </w:r>
      <w:r>
        <w:t>publications de la DGCL</w:t>
      </w:r>
      <w:r w:rsidRPr="008F5C7B">
        <w:t xml:space="preserve"> incluent les budgets annexes des établissements publics sociaux et médico-sociaux (EPSM, en M22) en les associant à leur budget de rattachement (communes, GFP, départements etc.).</w:t>
      </w:r>
      <w:r>
        <w:t xml:space="preserve"> </w:t>
      </w:r>
      <w:r w:rsidR="00062B1E">
        <w:t>Les budgets annexes en M22</w:t>
      </w:r>
      <w:r>
        <w:t xml:space="preserve"> sont donc ventilés par niveau de collectivité de leur budget de rattachement.</w:t>
      </w:r>
    </w:p>
    <w:p w:rsidR="008F5C7B" w:rsidRPr="008F5C7B" w:rsidRDefault="00457ACA" w:rsidP="00457ACA">
      <w:pPr>
        <w:jc w:val="both"/>
      </w:pPr>
      <w:proofErr w:type="gramStart"/>
      <w:r>
        <w:t>2 )</w:t>
      </w:r>
      <w:proofErr w:type="gramEnd"/>
      <w:r>
        <w:t xml:space="preserve"> </w:t>
      </w:r>
      <w:r w:rsidR="008F5C7B" w:rsidRPr="008F5C7B">
        <w:t xml:space="preserve">L’interprétation de certains ratios doit se faire avec précaution, du fait de la structure particulière des comptes des budgets annexes. Ces budgets sont en effet créés pour gérer certaines activités précises, dont l’équilibre budgétaire peut être très spécifique. Par exemple, une activité de lotissement, associée à des opérations d’aménagement qui s’étalent sur plusieurs années, va entraîner des dépenses sans contrepartie pendant plusieurs années puis une recette importante l’année de revente du terrain une fois aménagé. Les ratios d’endettement qui en résultent peuvent en être artificiellement affectés, selon l’année considérée. </w:t>
      </w:r>
    </w:p>
    <w:p w:rsidR="00457ACA" w:rsidRDefault="00457ACA" w:rsidP="008F5C7B">
      <w:pPr>
        <w:jc w:val="both"/>
        <w:rPr>
          <w:b/>
        </w:rPr>
      </w:pPr>
    </w:p>
    <w:p w:rsidR="008F5C7B" w:rsidRPr="00457ACA" w:rsidRDefault="00457ACA" w:rsidP="008F5C7B">
      <w:pPr>
        <w:jc w:val="both"/>
        <w:rPr>
          <w:b/>
        </w:rPr>
      </w:pPr>
      <w:r w:rsidRPr="00457ACA">
        <w:rPr>
          <w:b/>
        </w:rPr>
        <w:t>4 b -</w:t>
      </w:r>
      <w:r w:rsidR="008F5C7B" w:rsidRPr="00457ACA">
        <w:rPr>
          <w:b/>
        </w:rPr>
        <w:t xml:space="preserve"> Neutraliser certains doubles comptes</w:t>
      </w:r>
    </w:p>
    <w:p w:rsidR="008F5C7B" w:rsidRDefault="008F5C7B" w:rsidP="008F5C7B">
      <w:pPr>
        <w:jc w:val="both"/>
      </w:pPr>
      <w:r>
        <w:t xml:space="preserve">La publication des comptes complets des collectivités locales implique de présenter les budgets annexes (BA) en plus de leurs budgets principaux (BP). Additionner simplement ces comptes négligerait cependant le fait que certaines dépenses et recettes correspondent en réalité à des flux entre le budget principal et ses budgets annexes. C’est par exemple le cas pour le remboursement des frais correspondant à une mise à disposition de personnel. Les subventions aux établissements </w:t>
      </w:r>
      <w:r>
        <w:lastRenderedPageBreak/>
        <w:t>chargés d’un service public à caractère industriel et commercial (SPIC) peuvent aussi, sous certaines conditions, être versées à des budgets annexes. En additionnant ces montants, on surestimerait les dépenses et les recettes globales des collectivités.</w:t>
      </w:r>
    </w:p>
    <w:p w:rsidR="008F5C7B" w:rsidRDefault="008F5C7B" w:rsidP="008F5C7B">
      <w:pPr>
        <w:jc w:val="both"/>
      </w:pPr>
      <w:r>
        <w:t xml:space="preserve">Un groupe de travail a été constitué en 2018 par la DGCL et l’OFGL pour élaborer et documenter une méthode permettant d’estimer le montant des flux à neutraliser. Il a rassemblé des membres de la </w:t>
      </w:r>
      <w:proofErr w:type="spellStart"/>
      <w:r>
        <w:t>DGFiP</w:t>
      </w:r>
      <w:proofErr w:type="spellEnd"/>
      <w:r>
        <w:t>, de la Cour des comptes, de la Caisse des dépôts, de La Banque postale, de l’</w:t>
      </w:r>
      <w:proofErr w:type="spellStart"/>
      <w:r>
        <w:t>AdCF</w:t>
      </w:r>
      <w:proofErr w:type="spellEnd"/>
      <w:r>
        <w:t xml:space="preserve"> ainsi que des représentants du monde universitaire et des personnalités qualifiées. On identifie les comptes à neutraliser et on soustrait, en dépenses et en recettes, le montant de ces flux entre le budget principal et ses budgets annexes</w:t>
      </w:r>
      <w:r w:rsidR="00457ACA">
        <w:t xml:space="preserve"> (cf. annexe 5)</w:t>
      </w:r>
      <w:r>
        <w:t>.</w:t>
      </w:r>
    </w:p>
    <w:p w:rsidR="00457ACA" w:rsidRDefault="00457ACA" w:rsidP="008F5C7B">
      <w:pPr>
        <w:jc w:val="both"/>
        <w:rPr>
          <w:b/>
        </w:rPr>
      </w:pPr>
    </w:p>
    <w:p w:rsidR="008F5C7B" w:rsidRPr="00457ACA" w:rsidRDefault="00457ACA" w:rsidP="008F5C7B">
      <w:pPr>
        <w:jc w:val="both"/>
        <w:rPr>
          <w:b/>
        </w:rPr>
      </w:pPr>
      <w:r w:rsidRPr="00457ACA">
        <w:rPr>
          <w:b/>
        </w:rPr>
        <w:t>4 c -</w:t>
      </w:r>
      <w:r w:rsidR="008F5C7B" w:rsidRPr="00457ACA">
        <w:rPr>
          <w:b/>
        </w:rPr>
        <w:t xml:space="preserve"> Intégrer les syndicats dans le champ global des comptes consolidés</w:t>
      </w:r>
    </w:p>
    <w:p w:rsidR="008F5C7B" w:rsidRDefault="008F5C7B" w:rsidP="008F5C7B">
      <w:pPr>
        <w:jc w:val="both"/>
      </w:pPr>
      <w:r>
        <w:t xml:space="preserve">Présenter un compte consolidé des collectivités locales nécessite aussi de lui intégrer les syndicats. D'une part, ils représentent un volume de dépenses du même ordre de grandeur que les budgets annexes, et d'autre part, ils leur sont en quelque sorte complémentaires : tandis que les dépenses des budgets annexes augmentent beaucoup plus vite que celles des budgets principaux, les dépenses des syndicats ont baissé en 2016 et 2017. La complémentarité la plus évidente s'observe pour les activités de transports, de voirie et le traitement des déchets. Cumulées, les dépenses des budgets annexes et des syndicats évoluaient ainsi comme celles des seuls budgets principaux. Négliger les syndicats reviendrait alors à biaiser l'évolution des dépenses (et des recettes) des collectivités (cf. le bulletin d'information statistique de la DGCL BIS n° 126, novembre 2018). </w:t>
      </w:r>
    </w:p>
    <w:p w:rsidR="00457ACA" w:rsidRDefault="00457ACA" w:rsidP="008F5C7B">
      <w:pPr>
        <w:jc w:val="both"/>
        <w:rPr>
          <w:b/>
        </w:rPr>
      </w:pPr>
    </w:p>
    <w:p w:rsidR="008F5C7B" w:rsidRPr="00457ACA" w:rsidRDefault="00457ACA" w:rsidP="008F5C7B">
      <w:pPr>
        <w:jc w:val="both"/>
        <w:rPr>
          <w:b/>
        </w:rPr>
      </w:pPr>
      <w:r w:rsidRPr="00457ACA">
        <w:rPr>
          <w:b/>
        </w:rPr>
        <w:t>4 d -</w:t>
      </w:r>
      <w:r w:rsidR="008F5C7B" w:rsidRPr="00457ACA">
        <w:rPr>
          <w:b/>
        </w:rPr>
        <w:t xml:space="preserve"> Précautions d’utilisation et d’interprétation</w:t>
      </w:r>
    </w:p>
    <w:p w:rsidR="008F5C7B" w:rsidRDefault="008F5C7B" w:rsidP="008F5C7B">
      <w:pPr>
        <w:jc w:val="both"/>
      </w:pPr>
      <w:r>
        <w:t xml:space="preserve">Ce travail </w:t>
      </w:r>
      <w:r w:rsidR="00457ACA">
        <w:t xml:space="preserve">de consolidation </w:t>
      </w:r>
      <w:r>
        <w:t xml:space="preserve">doit être considéré comme une approche « statistique » de la consolidation des flux et non comme une instruction comptable. Il arrive en effet que des collectivités affectent des montants dans des comptes non prévus à cet usage, ou dont le libellé reste ambigu. Par exemple, une somme déclarée une année en « Subvention de fonctionnement versée aux établissements à caractère administratif » (compte 657363) peut l’année suivante être affectée, après réflexion de la collectivité, au compte 6521 : « Prise en charge du déficit du BA ». Si dans le même temps le BA a correctement enregistré chaque année </w:t>
      </w:r>
      <w:r w:rsidR="00457ACA">
        <w:t>ce flux dans le compte 7552 : « </w:t>
      </w:r>
      <w:r>
        <w:t>Prise en charge du déficit par le BP », les règles de neutralisation préconisées ici peuvent générer des apparences d’irrégularités comptables. D’autres collectivités présentent des cas symétriques, et sur un nombre suffisamment grand de collectivités les aléas d'enregistrement comptable se compensent, comme dans toute approche statistique. Appliquées à une seule collectivité, ces règles perdraient en revanche leur robustesse.</w:t>
      </w:r>
    </w:p>
    <w:p w:rsidR="008F5C7B" w:rsidRDefault="008F5C7B" w:rsidP="008F5C7B">
      <w:pPr>
        <w:jc w:val="both"/>
        <w:rPr>
          <w:b/>
          <w:u w:val="single"/>
        </w:rPr>
      </w:pPr>
      <w:r>
        <w:rPr>
          <w:b/>
          <w:u w:val="single"/>
        </w:rPr>
        <w:br w:type="page"/>
      </w:r>
    </w:p>
    <w:p w:rsidR="002803FB" w:rsidRDefault="002803FB" w:rsidP="002803FB">
      <w:pPr>
        <w:rPr>
          <w:b/>
          <w:u w:val="single"/>
        </w:rPr>
      </w:pPr>
      <w:proofErr w:type="gramStart"/>
      <w:r>
        <w:rPr>
          <w:b/>
          <w:u w:val="single"/>
        </w:rPr>
        <w:lastRenderedPageBreak/>
        <w:t>5 )</w:t>
      </w:r>
      <w:proofErr w:type="gramEnd"/>
      <w:r>
        <w:rPr>
          <w:b/>
          <w:u w:val="single"/>
        </w:rPr>
        <w:t xml:space="preserve"> LA CONSOLIDATION DES COMPTES ENTRE LES DIFFERENTES COLLECTIVITES LOCALES</w:t>
      </w:r>
    </w:p>
    <w:p w:rsidR="002803FB" w:rsidRDefault="002803FB" w:rsidP="002803FB">
      <w:pPr>
        <w:jc w:val="both"/>
      </w:pPr>
    </w:p>
    <w:p w:rsidR="002803FB" w:rsidRPr="002803FB" w:rsidRDefault="002803FB" w:rsidP="002803FB">
      <w:pPr>
        <w:jc w:val="both"/>
      </w:pPr>
      <w:r w:rsidRPr="002803FB">
        <w:t>De même qu’il faut neutraliser les flux entre le budget principal d’une collectivité et ses budgets annexes pour pouvoir agréger l’ensemble de ses budgets, il faut neutraliser les flux entre les différentes collectivités pour pouvoir agréger les comptes des collectivités : flux entre communes pour présenter un compte de l’ensemble des communes, flux entre communes et groupements à fiscalité propre (GFP) pour les comptes du bloc communal, flux entre bloc communal, départements et régions pour présenter le compte de l’ensemble des collectivités locales.</w:t>
      </w:r>
    </w:p>
    <w:p w:rsidR="002803FB" w:rsidRPr="002803FB" w:rsidRDefault="002803FB" w:rsidP="002803FB">
      <w:pPr>
        <w:jc w:val="both"/>
      </w:pPr>
      <w:r w:rsidRPr="002803FB">
        <w:t>Le groupe de travail pré</w:t>
      </w:r>
      <w:r w:rsidR="00F77389">
        <w:t>cédemment évoqué</w:t>
      </w:r>
      <w:r w:rsidRPr="002803FB">
        <w:t xml:space="preserve"> a abouti à des préconisations sur les comptes à considérer pour estimer de la façon la plus vraisemblable possible les montants à neutraliser</w:t>
      </w:r>
      <w:r w:rsidR="00F77389">
        <w:t xml:space="preserve"> (annexe 6)</w:t>
      </w:r>
      <w:r w:rsidRPr="002803FB">
        <w:t xml:space="preserve">. </w:t>
      </w:r>
    </w:p>
    <w:p w:rsidR="002803FB" w:rsidRDefault="002803FB" w:rsidP="002803FB">
      <w:pPr>
        <w:jc w:val="both"/>
        <w:rPr>
          <w:b/>
          <w:u w:val="single"/>
        </w:rPr>
      </w:pPr>
      <w:r w:rsidRPr="002803FB">
        <w:t>L’impact de la consolidation est le plus fort là où les budgets annexes sont les plus importants, ou là où les flux entre collectivités sont les plus volumineux.</w:t>
      </w:r>
      <w:r>
        <w:rPr>
          <w:b/>
          <w:u w:val="single"/>
        </w:rPr>
        <w:br w:type="page"/>
      </w:r>
    </w:p>
    <w:p w:rsidR="00077894" w:rsidRPr="00077894" w:rsidRDefault="00F77389" w:rsidP="00F805F8">
      <w:pPr>
        <w:jc w:val="both"/>
        <w:rPr>
          <w:b/>
          <w:u w:val="single"/>
        </w:rPr>
      </w:pPr>
      <w:proofErr w:type="gramStart"/>
      <w:r>
        <w:rPr>
          <w:b/>
          <w:u w:val="single"/>
        </w:rPr>
        <w:lastRenderedPageBreak/>
        <w:t>6</w:t>
      </w:r>
      <w:r w:rsidR="007E6418" w:rsidRPr="00077894">
        <w:rPr>
          <w:b/>
          <w:u w:val="single"/>
        </w:rPr>
        <w:t xml:space="preserve"> )</w:t>
      </w:r>
      <w:proofErr w:type="gramEnd"/>
      <w:r w:rsidR="007E6418" w:rsidRPr="00077894">
        <w:rPr>
          <w:b/>
          <w:u w:val="single"/>
        </w:rPr>
        <w:t xml:space="preserve"> SPÉCIFICATIONS DE DIFFUSION DES STATISTIQUES</w:t>
      </w:r>
      <w:r w:rsidR="001A5B4E">
        <w:rPr>
          <w:b/>
          <w:u w:val="single"/>
        </w:rPr>
        <w:t xml:space="preserve"> COMPTABLES </w:t>
      </w:r>
    </w:p>
    <w:p w:rsidR="0077024A" w:rsidRDefault="0077024A" w:rsidP="0077024A">
      <w:pPr>
        <w:spacing w:after="120"/>
        <w:jc w:val="both"/>
      </w:pPr>
    </w:p>
    <w:p w:rsidR="0077024A" w:rsidRPr="00A077DA" w:rsidRDefault="0077024A" w:rsidP="0077024A">
      <w:pPr>
        <w:spacing w:after="120"/>
        <w:jc w:val="both"/>
      </w:pPr>
      <w:r>
        <w:t xml:space="preserve">Le calendrier de diffusion des publications à périodicité régulière de DESL est proposé dans une fenêtre en marge du site internet partagé avec la </w:t>
      </w:r>
      <w:proofErr w:type="spellStart"/>
      <w:r>
        <w:t>DGFiP</w:t>
      </w:r>
      <w:proofErr w:type="spellEnd"/>
      <w:r>
        <w:rPr>
          <w:rStyle w:val="Appelnotedebasdep"/>
        </w:rPr>
        <w:footnoteReference w:id="8"/>
      </w:r>
      <w:r>
        <w:t>.</w:t>
      </w:r>
      <w:r w:rsidRPr="009A2C72">
        <w:t xml:space="preserve"> </w:t>
      </w:r>
      <w:r>
        <w:t xml:space="preserve">Cette fenêtre, </w:t>
      </w:r>
      <w:r w:rsidRPr="00A077DA">
        <w:t>intitulée « </w:t>
      </w:r>
      <w:r>
        <w:t>Service statistique de la DGCL</w:t>
      </w:r>
      <w:r w:rsidRPr="00A077DA">
        <w:t> » contien</w:t>
      </w:r>
      <w:r>
        <w:t>t</w:t>
      </w:r>
      <w:r w:rsidRPr="00A077DA">
        <w:t> :</w:t>
      </w:r>
    </w:p>
    <w:p w:rsidR="0077024A" w:rsidRPr="00A077DA" w:rsidRDefault="0077024A" w:rsidP="0077024A">
      <w:pPr>
        <w:spacing w:after="60"/>
        <w:ind w:left="425"/>
        <w:jc w:val="both"/>
      </w:pPr>
      <w:r w:rsidRPr="00A077DA">
        <w:t>- le calendrier prévisionnel de diffusion des statistiques</w:t>
      </w:r>
      <w:r>
        <w:t xml:space="preserve"> à périodicité régulière de DESL</w:t>
      </w:r>
      <w:r w:rsidRPr="00A077DA">
        <w:t>, par mois ou par trimestre selon le cas ;</w:t>
      </w:r>
    </w:p>
    <w:p w:rsidR="0077024A" w:rsidRDefault="0077024A" w:rsidP="0077024A">
      <w:pPr>
        <w:spacing w:after="60"/>
        <w:ind w:left="425"/>
        <w:jc w:val="both"/>
      </w:pPr>
      <w:r>
        <w:t>- les règles de diffusion des publications ;</w:t>
      </w:r>
    </w:p>
    <w:p w:rsidR="0077024A" w:rsidRDefault="0077024A" w:rsidP="0077024A">
      <w:pPr>
        <w:spacing w:after="60"/>
        <w:ind w:left="425"/>
        <w:jc w:val="both"/>
      </w:pPr>
      <w:r w:rsidRPr="00A077DA">
        <w:t>- un lien vers la boite mail fonctionnelle du département statistique de la DGCL pour recueillir d’éventuelles remarques de la part des utilisateurs</w:t>
      </w:r>
      <w:r>
        <w:t> ;</w:t>
      </w:r>
    </w:p>
    <w:p w:rsidR="0077024A" w:rsidRDefault="0077024A" w:rsidP="0077024A">
      <w:pPr>
        <w:spacing w:after="60"/>
        <w:ind w:left="425"/>
        <w:jc w:val="both"/>
      </w:pPr>
      <w:r>
        <w:t>- des notes méthodologiques (Sources et méthodes).</w:t>
      </w:r>
    </w:p>
    <w:p w:rsidR="0077024A" w:rsidRDefault="0077024A" w:rsidP="00F805F8">
      <w:pPr>
        <w:jc w:val="both"/>
        <w:rPr>
          <w:b/>
        </w:rPr>
      </w:pPr>
    </w:p>
    <w:p w:rsidR="00A768B4" w:rsidRPr="007E6418" w:rsidRDefault="00F77389" w:rsidP="00F805F8">
      <w:pPr>
        <w:jc w:val="both"/>
        <w:rPr>
          <w:b/>
        </w:rPr>
      </w:pPr>
      <w:r>
        <w:rPr>
          <w:b/>
        </w:rPr>
        <w:t>6</w:t>
      </w:r>
      <w:r w:rsidR="00896BF1" w:rsidRPr="007E6418">
        <w:rPr>
          <w:b/>
        </w:rPr>
        <w:t xml:space="preserve"> </w:t>
      </w:r>
      <w:r w:rsidR="00A768B4" w:rsidRPr="007E6418">
        <w:rPr>
          <w:b/>
        </w:rPr>
        <w:t xml:space="preserve">a - </w:t>
      </w:r>
      <w:r w:rsidR="00F02386" w:rsidRPr="007E6418">
        <w:rPr>
          <w:b/>
        </w:rPr>
        <w:t>P</w:t>
      </w:r>
      <w:r w:rsidR="003A59DE" w:rsidRPr="007E6418">
        <w:rPr>
          <w:b/>
        </w:rPr>
        <w:t xml:space="preserve">ublication des </w:t>
      </w:r>
      <w:r w:rsidR="00A768B4" w:rsidRPr="007E6418">
        <w:rPr>
          <w:b/>
        </w:rPr>
        <w:t xml:space="preserve">données agrégées au </w:t>
      </w:r>
      <w:r w:rsidR="00A768B4" w:rsidRPr="007E6418">
        <w:rPr>
          <w:b/>
          <w:u w:val="single"/>
        </w:rPr>
        <w:t>niveau national</w:t>
      </w:r>
    </w:p>
    <w:p w:rsidR="00077894" w:rsidRDefault="00A768B4" w:rsidP="00F805F8">
      <w:pPr>
        <w:jc w:val="both"/>
      </w:pPr>
      <w:r>
        <w:t>- Les premiers résultats</w:t>
      </w:r>
      <w:r w:rsidR="001A5B4E">
        <w:t xml:space="preserve"> produits par la DGCL</w:t>
      </w:r>
      <w:r>
        <w:t xml:space="preserve"> sont diffusés </w:t>
      </w:r>
      <w:r w:rsidR="00181A9A">
        <w:t>en</w:t>
      </w:r>
      <w:r w:rsidR="003A59DE">
        <w:t xml:space="preserve"> juin</w:t>
      </w:r>
      <w:r w:rsidR="001A5B4E">
        <w:t xml:space="preserve"> dans le pré-rapport de l’Observatoire</w:t>
      </w:r>
      <w:r w:rsidR="003A59DE">
        <w:t xml:space="preserve"> </w:t>
      </w:r>
      <w:r w:rsidR="001A5B4E">
        <w:t>des finances et de la gestion publique locale (OGFL). Les tableaux sont présentés dans les annexes 2</w:t>
      </w:r>
      <w:r w:rsidR="00060B2C">
        <w:t xml:space="preserve"> du rapport OFGL</w:t>
      </w:r>
      <w:r w:rsidR="001A5B4E">
        <w:t>, et les commentaires constituent la vue d’ensemble</w:t>
      </w:r>
      <w:r w:rsidR="00060B2C">
        <w:t xml:space="preserve"> du rapport</w:t>
      </w:r>
      <w:r w:rsidR="001A5B4E">
        <w:t>, plus trois fiches qui détaillent les résultat</w:t>
      </w:r>
      <w:r w:rsidR="00060B2C">
        <w:t>s</w:t>
      </w:r>
      <w:r w:rsidR="001A5B4E">
        <w:t xml:space="preserve"> de c</w:t>
      </w:r>
      <w:r w:rsidR="00060B2C">
        <w:t>haque niveau de collectivités (s</w:t>
      </w:r>
      <w:r w:rsidR="001A5B4E">
        <w:t>ecteur communal, départements, régions et CTU)</w:t>
      </w:r>
      <w:r w:rsidR="003A59DE">
        <w:t xml:space="preserve">. Ce rapport est présenté aux associations d’élus locaux par le président du comité des finances locales (CFL). </w:t>
      </w:r>
      <w:r w:rsidR="00421265">
        <w:t>Les tableaux sont publiés en parallèle dans « Collectivités locales en chiffres » accompagnés d’un commentaire beaucoup plus court. Un tableau très synthétique est intégré dans le petit dépliant de la DGCL « Collectivités locales en chiffres ». À ce stade de l’année</w:t>
      </w:r>
      <w:r w:rsidR="00060B2C">
        <w:t xml:space="preserve"> (juin)</w:t>
      </w:r>
      <w:r w:rsidR="00421265">
        <w:t>, toutes les d</w:t>
      </w:r>
      <w:r w:rsidR="007A2BDA">
        <w:t xml:space="preserve">onnées </w:t>
      </w:r>
      <w:r w:rsidR="00421265">
        <w:t>sont provisoires</w:t>
      </w:r>
      <w:r w:rsidR="007A2BDA">
        <w:t>.</w:t>
      </w:r>
      <w:r w:rsidR="00421265">
        <w:t xml:space="preserve"> </w:t>
      </w:r>
    </w:p>
    <w:p w:rsidR="0077024A" w:rsidRDefault="0077024A" w:rsidP="00113447">
      <w:pPr>
        <w:jc w:val="both"/>
        <w:rPr>
          <w:b/>
        </w:rPr>
      </w:pPr>
    </w:p>
    <w:p w:rsidR="00113447" w:rsidRPr="007E6418" w:rsidRDefault="00F77389" w:rsidP="00113447">
      <w:pPr>
        <w:jc w:val="both"/>
        <w:rPr>
          <w:b/>
        </w:rPr>
      </w:pPr>
      <w:r>
        <w:rPr>
          <w:b/>
        </w:rPr>
        <w:t>6</w:t>
      </w:r>
      <w:r w:rsidR="00896BF1" w:rsidRPr="007E6418">
        <w:rPr>
          <w:b/>
        </w:rPr>
        <w:t xml:space="preserve"> </w:t>
      </w:r>
      <w:r w:rsidR="00113447" w:rsidRPr="007E6418">
        <w:rPr>
          <w:b/>
        </w:rPr>
        <w:t xml:space="preserve">b - </w:t>
      </w:r>
      <w:r w:rsidR="00F02386" w:rsidRPr="007E6418">
        <w:rPr>
          <w:b/>
        </w:rPr>
        <w:t>P</w:t>
      </w:r>
      <w:r w:rsidR="00113447" w:rsidRPr="007E6418">
        <w:rPr>
          <w:b/>
        </w:rPr>
        <w:t xml:space="preserve">ublication des données au </w:t>
      </w:r>
      <w:r w:rsidR="00113447" w:rsidRPr="007E6418">
        <w:rPr>
          <w:b/>
          <w:u w:val="single"/>
        </w:rPr>
        <w:t xml:space="preserve">niveau </w:t>
      </w:r>
      <w:proofErr w:type="spellStart"/>
      <w:r w:rsidR="00113447" w:rsidRPr="007E6418">
        <w:rPr>
          <w:b/>
          <w:u w:val="single"/>
        </w:rPr>
        <w:t>infra-national</w:t>
      </w:r>
      <w:proofErr w:type="spellEnd"/>
    </w:p>
    <w:p w:rsidR="00D7456C" w:rsidRDefault="0077024A" w:rsidP="00F805F8">
      <w:pPr>
        <w:jc w:val="both"/>
      </w:pPr>
      <w:proofErr w:type="gramStart"/>
      <w:r>
        <w:t>1 )</w:t>
      </w:r>
      <w:proofErr w:type="gramEnd"/>
      <w:r>
        <w:t xml:space="preserve"> L</w:t>
      </w:r>
      <w:r w:rsidR="00D7456C">
        <w:t>es comptes de gestion</w:t>
      </w:r>
    </w:p>
    <w:p w:rsidR="00113447" w:rsidRDefault="00113447" w:rsidP="00F805F8">
      <w:pPr>
        <w:jc w:val="both"/>
      </w:pPr>
      <w:r>
        <w:t>Les publications de la collection « Statistiques et finances locales »</w:t>
      </w:r>
      <w:r w:rsidR="00226052">
        <w:t xml:space="preserve"> proposent des données ventilées au niveau </w:t>
      </w:r>
      <w:proofErr w:type="spellStart"/>
      <w:r w:rsidR="00226052">
        <w:t>infra-national</w:t>
      </w:r>
      <w:proofErr w:type="spellEnd"/>
      <w:r w:rsidR="00226052">
        <w:t>, et sont</w:t>
      </w:r>
      <w:r>
        <w:t xml:space="preserve"> élaborées à partir des versions définitives des fichiers</w:t>
      </w:r>
      <w:r w:rsidR="00060B2C">
        <w:t>, livrées en septembre pour les départements et les régions, et fin décembre pour le reste des collectivités</w:t>
      </w:r>
      <w:r>
        <w:t>. Elles diffusent l</w:t>
      </w:r>
      <w:r w:rsidR="00030DAF">
        <w:t>a</w:t>
      </w:r>
      <w:r>
        <w:t xml:space="preserve"> ventilation des dépenses de l’année N-1 par fonction (ce que ne font pas </w:t>
      </w:r>
      <w:r w:rsidR="00355D74">
        <w:t xml:space="preserve">toujours </w:t>
      </w:r>
      <w:r>
        <w:t xml:space="preserve">les publications </w:t>
      </w:r>
      <w:r w:rsidR="00B01D27">
        <w:t>cité</w:t>
      </w:r>
      <w:r w:rsidR="009D0938">
        <w:t>e</w:t>
      </w:r>
      <w:r w:rsidR="00B01D27">
        <w:t>s ci-dessus</w:t>
      </w:r>
      <w:r>
        <w:t>) et développent les dépenses et les recettes</w:t>
      </w:r>
      <w:r w:rsidR="00226052">
        <w:t xml:space="preserve"> selon des niveaux de détail plus fin que les publications nationales</w:t>
      </w:r>
      <w:r w:rsidR="00355D74">
        <w:t> :</w:t>
      </w:r>
    </w:p>
    <w:p w:rsidR="00226052" w:rsidRDefault="00226052" w:rsidP="00F805F8">
      <w:pPr>
        <w:jc w:val="both"/>
      </w:pPr>
      <w:r>
        <w:t xml:space="preserve">- Chaque année </w:t>
      </w:r>
      <w:r w:rsidR="007A2BDA">
        <w:t>à l’automne</w:t>
      </w:r>
      <w:r>
        <w:t xml:space="preserve"> sont publiés les documents relatifs aux </w:t>
      </w:r>
      <w:r w:rsidRPr="00F02386">
        <w:rPr>
          <w:i/>
        </w:rPr>
        <w:t>départements</w:t>
      </w:r>
      <w:r>
        <w:t xml:space="preserve"> et aux </w:t>
      </w:r>
      <w:r w:rsidRPr="00F02386">
        <w:rPr>
          <w:i/>
        </w:rPr>
        <w:t>régions</w:t>
      </w:r>
      <w:r>
        <w:t xml:space="preserve"> (intitulés « Les finances des départements en NNNN » et « Les finances des régions en NNNN »</w:t>
      </w:r>
      <w:r w:rsidR="00046786">
        <w:rPr>
          <w:rStyle w:val="Appelnotedebasdep"/>
        </w:rPr>
        <w:footnoteReference w:id="9"/>
      </w:r>
      <w:r>
        <w:t xml:space="preserve">.) </w:t>
      </w:r>
      <w:r w:rsidR="00B01D27">
        <w:t>L</w:t>
      </w:r>
      <w:r>
        <w:t>es définitions de chaque agrégat comptable diffusé dans ce</w:t>
      </w:r>
      <w:r w:rsidR="00896BF1">
        <w:t>s</w:t>
      </w:r>
      <w:r>
        <w:t xml:space="preserve"> document</w:t>
      </w:r>
      <w:r w:rsidR="00896BF1">
        <w:t>s</w:t>
      </w:r>
      <w:r>
        <w:t xml:space="preserve"> sont </w:t>
      </w:r>
      <w:r w:rsidR="00F02386">
        <w:t>précisées</w:t>
      </w:r>
      <w:r>
        <w:t xml:space="preserve"> dans l’introduction méthodologique</w:t>
      </w:r>
      <w:r w:rsidR="00F02386">
        <w:t xml:space="preserve">. Ces publications diffusent les </w:t>
      </w:r>
      <w:r w:rsidR="007A2BDA">
        <w:t>données par collectivité</w:t>
      </w:r>
      <w:r w:rsidR="00F02386">
        <w:t>.</w:t>
      </w:r>
    </w:p>
    <w:p w:rsidR="00077894" w:rsidRDefault="00F02386" w:rsidP="00F805F8">
      <w:pPr>
        <w:jc w:val="both"/>
      </w:pPr>
      <w:r>
        <w:lastRenderedPageBreak/>
        <w:t>- L</w:t>
      </w:r>
      <w:r w:rsidR="00D7456C">
        <w:t xml:space="preserve">a livraison des données définitives sur le bloc communal est plus tardive (fin décembre), ce qui repousse la publication des statistiques </w:t>
      </w:r>
      <w:proofErr w:type="spellStart"/>
      <w:r w:rsidR="00D7456C">
        <w:t>infra-nationale</w:t>
      </w:r>
      <w:proofErr w:type="spellEnd"/>
      <w:r w:rsidR="00D7456C">
        <w:t xml:space="preserve"> sur le bloc communal au début de l’année qui suit. L</w:t>
      </w:r>
      <w:r>
        <w:t xml:space="preserve">a publication sur les </w:t>
      </w:r>
      <w:r w:rsidRPr="00F02386">
        <w:rPr>
          <w:i/>
        </w:rPr>
        <w:t>communes</w:t>
      </w:r>
      <w:r>
        <w:t xml:space="preserve"> a été suspendue </w:t>
      </w:r>
      <w:r w:rsidR="00D7456C">
        <w:t>entre la diffusion des</w:t>
      </w:r>
      <w:r w:rsidR="00B01D27">
        <w:t xml:space="preserve"> comptes de 2010</w:t>
      </w:r>
      <w:r w:rsidR="00D7456C">
        <w:t xml:space="preserve"> et celle de 2015</w:t>
      </w:r>
      <w:r>
        <w:t xml:space="preserve">. </w:t>
      </w:r>
      <w:r w:rsidR="00D7456C">
        <w:t xml:space="preserve">Elle a repris en 2017. </w:t>
      </w:r>
      <w:r>
        <w:t>Elle diffuse les statistiques comptables par strate</w:t>
      </w:r>
      <w:r w:rsidR="00355D74">
        <w:t>s</w:t>
      </w:r>
      <w:r>
        <w:t xml:space="preserve"> de communes (selon leur taille, selon leur type - touristique, montagne</w:t>
      </w:r>
      <w:r w:rsidR="0077024A">
        <w:t>,</w:t>
      </w:r>
      <w:r>
        <w:t xml:space="preserve"> etc.</w:t>
      </w:r>
      <w:r w:rsidR="009D0938">
        <w:t>)</w:t>
      </w:r>
      <w:r>
        <w:t xml:space="preserve"> et selon leur région.</w:t>
      </w:r>
      <w:r w:rsidR="009D0938" w:rsidRPr="009D0938">
        <w:t xml:space="preserve"> </w:t>
      </w:r>
      <w:r w:rsidR="009D0938">
        <w:t>Elle propose désormais aussi une décomposition des dépenses par fonction.</w:t>
      </w:r>
    </w:p>
    <w:p w:rsidR="00B01D27" w:rsidRDefault="00B01D27" w:rsidP="00B01D27">
      <w:pPr>
        <w:jc w:val="both"/>
      </w:pPr>
      <w:r>
        <w:t xml:space="preserve">- De même, la publication sur les </w:t>
      </w:r>
      <w:r w:rsidRPr="002C4D9D">
        <w:rPr>
          <w:i/>
        </w:rPr>
        <w:t>EPCI à fiscalité propre</w:t>
      </w:r>
      <w:r>
        <w:t xml:space="preserve"> ét</w:t>
      </w:r>
      <w:r w:rsidR="00BE708E">
        <w:t>ait</w:t>
      </w:r>
      <w:r>
        <w:t xml:space="preserve"> suspendue depuis l’édition relative aux comptes de 2010. Elle a repris en 2018 (sur les comptes 2016). Elle diffuse les statistiques comptables par strates d’EPCI (selon leur taille, selon leur type - CU, CA, CC, touristique, montagne</w:t>
      </w:r>
      <w:r w:rsidR="0077024A">
        <w:t>,</w:t>
      </w:r>
      <w:r>
        <w:t xml:space="preserve"> etc.</w:t>
      </w:r>
      <w:r w:rsidR="009D0938">
        <w:t>)</w:t>
      </w:r>
      <w:r>
        <w:t xml:space="preserve"> et selon leur région. Elle propose </w:t>
      </w:r>
      <w:r w:rsidR="009D0938">
        <w:t xml:space="preserve">désormais </w:t>
      </w:r>
      <w:r>
        <w:t>aussi une décomposition des dépenses par fonction.</w:t>
      </w:r>
    </w:p>
    <w:p w:rsidR="00D7456C" w:rsidRDefault="00917EBF" w:rsidP="00F805F8">
      <w:pPr>
        <w:jc w:val="both"/>
      </w:pPr>
      <w:proofErr w:type="gramStart"/>
      <w:r>
        <w:t>2 )</w:t>
      </w:r>
      <w:proofErr w:type="gramEnd"/>
      <w:r>
        <w:t xml:space="preserve"> L</w:t>
      </w:r>
      <w:r w:rsidR="00D7456C" w:rsidRPr="00D7456C">
        <w:t>es budgets primitifs</w:t>
      </w:r>
    </w:p>
    <w:p w:rsidR="00917EBF" w:rsidRPr="00D7456C" w:rsidRDefault="00917EBF" w:rsidP="00F805F8">
      <w:pPr>
        <w:jc w:val="both"/>
      </w:pPr>
      <w:r>
        <w:t>Chaque année, DESL publie les statistiques des budgets primitifs des régions et des départemen</w:t>
      </w:r>
      <w:r w:rsidR="0077024A">
        <w:t>ts, sur le même modèle que celui des comptes de gestion. Autrefois fondées sur les données saisies manuellement à la DGCL à partir des budgets primitifs présentés par les collectivités, e</w:t>
      </w:r>
      <w:r>
        <w:t>lles s’appuient désormais sur les fichiers de la DGFIP et n’incluent donc plus de ventilation par fonction.</w:t>
      </w:r>
    </w:p>
    <w:p w:rsidR="00917EBF" w:rsidRDefault="00917EBF" w:rsidP="00F805F8">
      <w:pPr>
        <w:jc w:val="both"/>
        <w:rPr>
          <w:b/>
        </w:rPr>
      </w:pPr>
    </w:p>
    <w:p w:rsidR="00355D74" w:rsidRPr="007E6418" w:rsidRDefault="00F77389" w:rsidP="00F805F8">
      <w:pPr>
        <w:jc w:val="both"/>
        <w:rPr>
          <w:b/>
        </w:rPr>
      </w:pPr>
      <w:r>
        <w:rPr>
          <w:b/>
        </w:rPr>
        <w:t>6</w:t>
      </w:r>
      <w:r w:rsidR="00355D74" w:rsidRPr="007E6418">
        <w:rPr>
          <w:b/>
        </w:rPr>
        <w:t xml:space="preserve"> c - </w:t>
      </w:r>
      <w:r w:rsidR="007A2BDA">
        <w:rPr>
          <w:b/>
        </w:rPr>
        <w:t>Diffusion</w:t>
      </w:r>
      <w:r w:rsidR="00355D74" w:rsidRPr="007E6418">
        <w:rPr>
          <w:b/>
        </w:rPr>
        <w:t xml:space="preserve"> des données individuelles </w:t>
      </w:r>
      <w:r w:rsidR="007A2BDA">
        <w:rPr>
          <w:b/>
        </w:rPr>
        <w:t>par la DGFiP</w:t>
      </w:r>
    </w:p>
    <w:p w:rsidR="00355D74" w:rsidRDefault="00355D74" w:rsidP="00F805F8">
      <w:pPr>
        <w:jc w:val="both"/>
      </w:pPr>
      <w:r>
        <w:t>Conformément aux accords passés entre la DGFiP et la DGCL, DES</w:t>
      </w:r>
      <w:r w:rsidR="00B01D27">
        <w:t>L</w:t>
      </w:r>
      <w:r>
        <w:t xml:space="preserve"> ne diffuse pas </w:t>
      </w:r>
      <w:r w:rsidR="00BE708E">
        <w:t xml:space="preserve">dans ses publications </w:t>
      </w:r>
      <w:r>
        <w:t>les données comptables individuelles des collectivités du bloc communal. Celles-ci sont diffusées collectivité par collectivité par la DGFiP sur le site partagé des études et statistiques locales dans le chapitre « Finances locales »</w:t>
      </w:r>
      <w:r>
        <w:rPr>
          <w:rStyle w:val="Appelnotedebasdep"/>
        </w:rPr>
        <w:footnoteReference w:id="10"/>
      </w:r>
      <w:r>
        <w:t>.</w:t>
      </w:r>
    </w:p>
    <w:p w:rsidR="00355D74" w:rsidRDefault="00355D74" w:rsidP="00F805F8">
      <w:pPr>
        <w:jc w:val="both"/>
      </w:pPr>
      <w:r>
        <w:t>Le fichier complet de ces comptes individuels est par ailleurs diffusé en open data sur data.gouv.fr</w:t>
      </w:r>
      <w:r>
        <w:rPr>
          <w:rStyle w:val="Appelnotedebasdep"/>
        </w:rPr>
        <w:footnoteReference w:id="11"/>
      </w:r>
      <w:r>
        <w:t>.</w:t>
      </w:r>
      <w:r w:rsidR="007E6418">
        <w:t xml:space="preserve"> En plus des principaux agrégats comptables, il inclut certaines variables fiscales.</w:t>
      </w:r>
    </w:p>
    <w:p w:rsidR="00544432" w:rsidRDefault="00544432" w:rsidP="009A2C72">
      <w:pPr>
        <w:ind w:left="426"/>
        <w:jc w:val="both"/>
      </w:pPr>
    </w:p>
    <w:p w:rsidR="008F5C7B" w:rsidRDefault="008F5C7B">
      <w:pPr>
        <w:rPr>
          <w:b/>
        </w:rPr>
      </w:pPr>
      <w:bookmarkStart w:id="0" w:name="_GoBack"/>
      <w:bookmarkEnd w:id="0"/>
      <w:r>
        <w:rPr>
          <w:b/>
        </w:rPr>
        <w:br w:type="page"/>
      </w:r>
    </w:p>
    <w:p w:rsidR="00D95947" w:rsidRPr="00D95947" w:rsidRDefault="00D95947" w:rsidP="00D95947">
      <w:pPr>
        <w:ind w:left="-709" w:right="-851"/>
        <w:jc w:val="center"/>
        <w:rPr>
          <w:b/>
        </w:rPr>
      </w:pPr>
      <w:r w:rsidRPr="00D95947">
        <w:rPr>
          <w:b/>
        </w:rPr>
        <w:lastRenderedPageBreak/>
        <w:t>Annexe 1 : Exemple de présentation de compte des collecti</w:t>
      </w:r>
      <w:r w:rsidR="007119A5">
        <w:rPr>
          <w:b/>
        </w:rPr>
        <w:t>vités locales</w:t>
      </w:r>
    </w:p>
    <w:p w:rsidR="00D95947" w:rsidRDefault="007119A5" w:rsidP="00D95947">
      <w:pPr>
        <w:ind w:left="-709" w:right="-851"/>
        <w:jc w:val="both"/>
      </w:pPr>
      <w:r w:rsidRPr="007119A5">
        <w:rPr>
          <w:noProof/>
          <w:lang w:eastAsia="fr-FR"/>
        </w:rPr>
        <w:drawing>
          <wp:inline distT="0" distB="0" distL="0" distR="0">
            <wp:extent cx="6349945" cy="802867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48792" cy="8027219"/>
                    </a:xfrm>
                    <a:prstGeom prst="rect">
                      <a:avLst/>
                    </a:prstGeom>
                    <a:noFill/>
                    <a:ln w="9525">
                      <a:noFill/>
                      <a:miter lim="800000"/>
                      <a:headEnd/>
                      <a:tailEnd/>
                    </a:ln>
                  </pic:spPr>
                </pic:pic>
              </a:graphicData>
            </a:graphic>
          </wp:inline>
        </w:drawing>
      </w:r>
    </w:p>
    <w:p w:rsidR="00D95947" w:rsidRDefault="00D95947" w:rsidP="00D95947">
      <w:pPr>
        <w:ind w:left="-709" w:right="-851"/>
        <w:jc w:val="both"/>
        <w:sectPr w:rsidR="00D95947" w:rsidSect="00976450">
          <w:headerReference w:type="default" r:id="rId8"/>
          <w:footerReference w:type="default" r:id="rId9"/>
          <w:pgSz w:w="11906" w:h="16838"/>
          <w:pgMar w:top="1418" w:right="1418" w:bottom="1418" w:left="1418" w:header="709" w:footer="709" w:gutter="0"/>
          <w:cols w:space="708"/>
          <w:docGrid w:linePitch="360"/>
        </w:sectPr>
      </w:pPr>
    </w:p>
    <w:p w:rsidR="00D95947" w:rsidRPr="00D95947" w:rsidRDefault="00D95947" w:rsidP="00D95947">
      <w:pPr>
        <w:ind w:right="-851"/>
        <w:jc w:val="center"/>
        <w:rPr>
          <w:b/>
        </w:rPr>
      </w:pPr>
      <w:r w:rsidRPr="00D95947">
        <w:rPr>
          <w:b/>
        </w:rPr>
        <w:lastRenderedPageBreak/>
        <w:t>Annexe 2 : Liste des variables du fichier des balances transmis par la DGFiP</w:t>
      </w:r>
    </w:p>
    <w:p w:rsidR="00D95947" w:rsidRDefault="00D95947" w:rsidP="00D95947">
      <w:pPr>
        <w:ind w:right="-851"/>
        <w:jc w:val="both"/>
      </w:pPr>
      <w:r w:rsidRPr="00D95947">
        <w:rPr>
          <w:noProof/>
          <w:lang w:eastAsia="fr-FR"/>
        </w:rPr>
        <w:drawing>
          <wp:inline distT="0" distB="0" distL="0" distR="0">
            <wp:extent cx="5760720" cy="735676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60720" cy="7356766"/>
                    </a:xfrm>
                    <a:prstGeom prst="rect">
                      <a:avLst/>
                    </a:prstGeom>
                    <a:noFill/>
                    <a:ln w="9525">
                      <a:noFill/>
                      <a:miter lim="800000"/>
                      <a:headEnd/>
                      <a:tailEnd/>
                    </a:ln>
                  </pic:spPr>
                </pic:pic>
              </a:graphicData>
            </a:graphic>
          </wp:inline>
        </w:drawing>
      </w:r>
    </w:p>
    <w:p w:rsidR="00294927" w:rsidRDefault="00294927" w:rsidP="00D95947">
      <w:pPr>
        <w:ind w:right="-851"/>
        <w:jc w:val="both"/>
        <w:sectPr w:rsidR="00294927" w:rsidSect="00D95947">
          <w:pgSz w:w="11906" w:h="16838"/>
          <w:pgMar w:top="1417" w:right="1700" w:bottom="1417" w:left="1417" w:header="708" w:footer="708" w:gutter="0"/>
          <w:cols w:space="708"/>
          <w:docGrid w:linePitch="360"/>
        </w:sectPr>
      </w:pPr>
    </w:p>
    <w:p w:rsidR="00736D51" w:rsidRDefault="008843A1" w:rsidP="00736D51">
      <w:pPr>
        <w:spacing w:after="120"/>
        <w:ind w:left="-142"/>
        <w:jc w:val="center"/>
        <w:sectPr w:rsidR="00736D51" w:rsidSect="0050032C">
          <w:pgSz w:w="23814" w:h="16840" w:orient="landscape" w:code="8"/>
          <w:pgMar w:top="454" w:right="737" w:bottom="454" w:left="737" w:header="709" w:footer="709" w:gutter="0"/>
          <w:cols w:space="708"/>
          <w:docGrid w:linePitch="360"/>
        </w:sectPr>
      </w:pPr>
      <w:r w:rsidRPr="008843A1">
        <w:rPr>
          <w:noProof/>
          <w:lang w:eastAsia="fr-FR"/>
        </w:rPr>
        <w:lastRenderedPageBreak/>
        <w:drawing>
          <wp:inline distT="0" distB="0" distL="0" distR="0">
            <wp:extent cx="13986566" cy="8698726"/>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990564" cy="8701212"/>
                    </a:xfrm>
                    <a:prstGeom prst="rect">
                      <a:avLst/>
                    </a:prstGeom>
                    <a:noFill/>
                    <a:ln w="9525">
                      <a:noFill/>
                      <a:miter lim="800000"/>
                      <a:headEnd/>
                      <a:tailEnd/>
                    </a:ln>
                  </pic:spPr>
                </pic:pic>
              </a:graphicData>
            </a:graphic>
          </wp:inline>
        </w:drawing>
      </w:r>
    </w:p>
    <w:tbl>
      <w:tblPr>
        <w:tblW w:w="14379" w:type="dxa"/>
        <w:tblInd w:w="921" w:type="dxa"/>
        <w:tblCellMar>
          <w:left w:w="70" w:type="dxa"/>
          <w:right w:w="70" w:type="dxa"/>
        </w:tblCellMar>
        <w:tblLook w:val="04A0"/>
      </w:tblPr>
      <w:tblGrid>
        <w:gridCol w:w="2560"/>
        <w:gridCol w:w="2118"/>
        <w:gridCol w:w="1981"/>
        <w:gridCol w:w="1985"/>
        <w:gridCol w:w="1984"/>
        <w:gridCol w:w="1680"/>
        <w:gridCol w:w="302"/>
        <w:gridCol w:w="1769"/>
      </w:tblGrid>
      <w:tr w:rsidR="00736D51" w:rsidRPr="00BA6AC0" w:rsidTr="00736D51">
        <w:trPr>
          <w:trHeight w:val="300"/>
        </w:trPr>
        <w:tc>
          <w:tcPr>
            <w:tcW w:w="14379" w:type="dxa"/>
            <w:gridSpan w:val="8"/>
            <w:tcBorders>
              <w:top w:val="nil"/>
              <w:left w:val="nil"/>
              <w:bottom w:val="nil"/>
              <w:right w:val="nil"/>
            </w:tcBorders>
            <w:shd w:val="clear" w:color="auto" w:fill="auto"/>
            <w:noWrap/>
            <w:vAlign w:val="bottom"/>
            <w:hideMark/>
          </w:tcPr>
          <w:p w:rsidR="00736D51" w:rsidRDefault="00736D51" w:rsidP="009530AA">
            <w:pPr>
              <w:spacing w:after="60" w:line="240" w:lineRule="auto"/>
              <w:jc w:val="center"/>
              <w:rPr>
                <w:b/>
              </w:rPr>
            </w:pPr>
          </w:p>
          <w:p w:rsidR="00736D51" w:rsidRDefault="00736D51" w:rsidP="009530AA">
            <w:pPr>
              <w:spacing w:after="60" w:line="240" w:lineRule="auto"/>
              <w:jc w:val="center"/>
              <w:rPr>
                <w:b/>
              </w:rPr>
            </w:pPr>
          </w:p>
          <w:p w:rsidR="00736D51" w:rsidRDefault="00736D51" w:rsidP="009530AA">
            <w:pPr>
              <w:spacing w:after="60" w:line="240" w:lineRule="auto"/>
              <w:jc w:val="center"/>
              <w:rPr>
                <w:b/>
              </w:rPr>
            </w:pPr>
          </w:p>
          <w:p w:rsidR="00736D51" w:rsidRPr="00BA6AC0" w:rsidRDefault="00736D51" w:rsidP="009530AA">
            <w:pPr>
              <w:spacing w:after="60" w:line="240" w:lineRule="auto"/>
              <w:jc w:val="center"/>
              <w:rPr>
                <w:rFonts w:ascii="Bookman Old Style" w:eastAsia="Times New Roman" w:hAnsi="Bookman Old Style" w:cs="Times New Roman"/>
                <w:b/>
                <w:sz w:val="20"/>
                <w:szCs w:val="20"/>
                <w:lang w:eastAsia="fr-FR"/>
              </w:rPr>
            </w:pPr>
            <w:r w:rsidRPr="00BA6AC0">
              <w:rPr>
                <w:b/>
              </w:rPr>
              <w:t xml:space="preserve">Annexe </w:t>
            </w:r>
            <w:r>
              <w:rPr>
                <w:b/>
              </w:rPr>
              <w:t>4</w:t>
            </w:r>
            <w:r w:rsidRPr="00BA6AC0">
              <w:rPr>
                <w:b/>
              </w:rPr>
              <w:t> : Définition</w:t>
            </w:r>
            <w:r>
              <w:rPr>
                <w:b/>
              </w:rPr>
              <w:t>s</w:t>
            </w:r>
            <w:r w:rsidRPr="00BA6AC0">
              <w:rPr>
                <w:b/>
              </w:rPr>
              <w:t xml:space="preserve"> </w:t>
            </w:r>
            <w:r>
              <w:rPr>
                <w:b/>
              </w:rPr>
              <w:t xml:space="preserve">complémentaires </w:t>
            </w:r>
            <w:r w:rsidRPr="00BA6AC0">
              <w:rPr>
                <w:b/>
              </w:rPr>
              <w:t xml:space="preserve"> - </w:t>
            </w:r>
            <w:r w:rsidRPr="00BA6AC0">
              <w:rPr>
                <w:rFonts w:ascii="Bookman Old Style" w:eastAsia="Times New Roman" w:hAnsi="Bookman Old Style" w:cs="Times New Roman"/>
                <w:b/>
                <w:bCs/>
                <w:color w:val="538ED5"/>
                <w:sz w:val="16"/>
                <w:szCs w:val="16"/>
                <w:lang w:eastAsia="fr-FR"/>
              </w:rPr>
              <w:t>Opérations réelles - Comptes de gestion - fonctionnement</w:t>
            </w:r>
            <w:r w:rsidR="00A92832">
              <w:rPr>
                <w:rFonts w:ascii="Bookman Old Style" w:eastAsia="Times New Roman" w:hAnsi="Bookman Old Style" w:cs="Times New Roman"/>
                <w:b/>
                <w:bCs/>
                <w:color w:val="538ED5"/>
                <w:sz w:val="16"/>
                <w:szCs w:val="16"/>
                <w:lang w:eastAsia="fr-FR"/>
              </w:rPr>
              <w:t xml:space="preserve"> - 2016</w:t>
            </w:r>
          </w:p>
        </w:tc>
      </w:tr>
      <w:tr w:rsidR="00736D51" w:rsidRPr="00294927" w:rsidTr="00736D51">
        <w:trPr>
          <w:trHeight w:val="465"/>
        </w:trPr>
        <w:tc>
          <w:tcPr>
            <w:tcW w:w="2560" w:type="dxa"/>
            <w:tcBorders>
              <w:top w:val="single" w:sz="4" w:space="0" w:color="auto"/>
              <w:left w:val="single" w:sz="4" w:space="0" w:color="auto"/>
              <w:bottom w:val="nil"/>
              <w:right w:val="nil"/>
            </w:tcBorders>
            <w:shd w:val="clear" w:color="auto" w:fill="auto"/>
            <w:vAlign w:val="bottom"/>
            <w:hideMark/>
          </w:tcPr>
          <w:p w:rsidR="00736D51" w:rsidRPr="00294927" w:rsidRDefault="00736D51" w:rsidP="009530AA">
            <w:pPr>
              <w:spacing w:after="0" w:line="240" w:lineRule="auto"/>
              <w:rPr>
                <w:rFonts w:ascii="Bookman Old Style" w:eastAsia="Times New Roman" w:hAnsi="Bookman Old Style" w:cs="Times New Roman"/>
                <w:color w:val="17375D"/>
                <w:sz w:val="16"/>
                <w:szCs w:val="16"/>
                <w:lang w:eastAsia="fr-FR"/>
              </w:rPr>
            </w:pPr>
            <w:r w:rsidRPr="00294927">
              <w:rPr>
                <w:rFonts w:ascii="Bookman Old Style" w:eastAsia="Times New Roman" w:hAnsi="Bookman Old Style" w:cs="Times New Roman"/>
                <w:color w:val="17375D"/>
                <w:sz w:val="16"/>
                <w:szCs w:val="16"/>
                <w:lang w:eastAsia="fr-FR"/>
              </w:rPr>
              <w:t> </w:t>
            </w:r>
          </w:p>
        </w:tc>
        <w:tc>
          <w:tcPr>
            <w:tcW w:w="4099" w:type="dxa"/>
            <w:gridSpan w:val="2"/>
            <w:tcBorders>
              <w:top w:val="single" w:sz="4" w:space="0" w:color="auto"/>
              <w:left w:val="single" w:sz="4" w:space="0" w:color="auto"/>
              <w:bottom w:val="nil"/>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b/>
                <w:bCs/>
                <w:color w:val="538ED5"/>
                <w:sz w:val="16"/>
                <w:szCs w:val="16"/>
                <w:lang w:eastAsia="fr-FR"/>
              </w:rPr>
            </w:pPr>
            <w:r w:rsidRPr="00294927">
              <w:rPr>
                <w:rFonts w:ascii="Bookman Old Style" w:eastAsia="Times New Roman" w:hAnsi="Bookman Old Style" w:cs="Times New Roman"/>
                <w:b/>
                <w:bCs/>
                <w:color w:val="538ED5"/>
                <w:sz w:val="16"/>
                <w:szCs w:val="16"/>
                <w:lang w:eastAsia="fr-FR"/>
              </w:rPr>
              <w:t>Communes et groupements de communes à fiscalité propre (y compris métropole de Lyon)</w:t>
            </w:r>
          </w:p>
        </w:tc>
        <w:tc>
          <w:tcPr>
            <w:tcW w:w="3969" w:type="dxa"/>
            <w:gridSpan w:val="2"/>
            <w:tcBorders>
              <w:top w:val="single" w:sz="4" w:space="0" w:color="auto"/>
              <w:left w:val="nil"/>
              <w:bottom w:val="nil"/>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b/>
                <w:bCs/>
                <w:color w:val="538ED5"/>
                <w:sz w:val="16"/>
                <w:szCs w:val="16"/>
                <w:lang w:eastAsia="fr-FR"/>
              </w:rPr>
            </w:pPr>
            <w:r w:rsidRPr="00294927">
              <w:rPr>
                <w:rFonts w:ascii="Bookman Old Style" w:eastAsia="Times New Roman" w:hAnsi="Bookman Old Style" w:cs="Times New Roman"/>
                <w:b/>
                <w:bCs/>
                <w:color w:val="538ED5"/>
                <w:sz w:val="16"/>
                <w:szCs w:val="16"/>
                <w:lang w:eastAsia="fr-FR"/>
              </w:rPr>
              <w:t>Départements</w:t>
            </w:r>
          </w:p>
        </w:tc>
        <w:tc>
          <w:tcPr>
            <w:tcW w:w="3751" w:type="dxa"/>
            <w:gridSpan w:val="3"/>
            <w:tcBorders>
              <w:top w:val="single" w:sz="4" w:space="0" w:color="auto"/>
              <w:left w:val="nil"/>
              <w:bottom w:val="nil"/>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b/>
                <w:bCs/>
                <w:color w:val="538ED5"/>
                <w:sz w:val="16"/>
                <w:szCs w:val="16"/>
                <w:lang w:eastAsia="fr-FR"/>
              </w:rPr>
            </w:pPr>
            <w:r w:rsidRPr="00294927">
              <w:rPr>
                <w:rFonts w:ascii="Bookman Old Style" w:eastAsia="Times New Roman" w:hAnsi="Bookman Old Style" w:cs="Times New Roman"/>
                <w:b/>
                <w:bCs/>
                <w:color w:val="538ED5"/>
                <w:sz w:val="16"/>
                <w:szCs w:val="16"/>
                <w:lang w:eastAsia="fr-FR"/>
              </w:rPr>
              <w:t>Régions</w:t>
            </w:r>
            <w:r>
              <w:rPr>
                <w:rFonts w:ascii="Bookman Old Style" w:eastAsia="Times New Roman" w:hAnsi="Bookman Old Style" w:cs="Times New Roman"/>
                <w:b/>
                <w:bCs/>
                <w:color w:val="538ED5"/>
                <w:sz w:val="16"/>
                <w:szCs w:val="16"/>
                <w:lang w:eastAsia="fr-FR"/>
              </w:rPr>
              <w:t xml:space="preserve"> (et CTU)</w:t>
            </w:r>
          </w:p>
        </w:tc>
      </w:tr>
      <w:tr w:rsidR="00736D51" w:rsidRPr="00294927" w:rsidTr="00736D51">
        <w:trPr>
          <w:trHeight w:val="63"/>
        </w:trPr>
        <w:tc>
          <w:tcPr>
            <w:tcW w:w="2560" w:type="dxa"/>
            <w:tcBorders>
              <w:top w:val="nil"/>
              <w:left w:val="single" w:sz="4" w:space="0" w:color="auto"/>
              <w:bottom w:val="single" w:sz="4" w:space="0" w:color="auto"/>
              <w:right w:val="nil"/>
            </w:tcBorders>
            <w:shd w:val="clear" w:color="auto" w:fill="auto"/>
            <w:vAlign w:val="bottom"/>
            <w:hideMark/>
          </w:tcPr>
          <w:p w:rsidR="00736D51" w:rsidRPr="00294927" w:rsidRDefault="00736D51" w:rsidP="009530AA">
            <w:pPr>
              <w:spacing w:after="0" w:line="240" w:lineRule="auto"/>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 </w:t>
            </w:r>
          </w:p>
        </w:tc>
        <w:tc>
          <w:tcPr>
            <w:tcW w:w="2118" w:type="dxa"/>
            <w:tcBorders>
              <w:top w:val="nil"/>
              <w:left w:val="single" w:sz="4" w:space="0" w:color="auto"/>
              <w:bottom w:val="single" w:sz="4" w:space="0" w:color="auto"/>
              <w:right w:val="nil"/>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M14</w:t>
            </w:r>
          </w:p>
        </w:tc>
        <w:tc>
          <w:tcPr>
            <w:tcW w:w="1981" w:type="dxa"/>
            <w:tcBorders>
              <w:top w:val="nil"/>
              <w:left w:val="nil"/>
              <w:bottom w:val="single" w:sz="4" w:space="0" w:color="auto"/>
              <w:right w:val="single" w:sz="4" w:space="0" w:color="auto"/>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M57</w:t>
            </w:r>
          </w:p>
        </w:tc>
        <w:tc>
          <w:tcPr>
            <w:tcW w:w="1985" w:type="dxa"/>
            <w:tcBorders>
              <w:top w:val="nil"/>
              <w:left w:val="nil"/>
              <w:bottom w:val="single" w:sz="4" w:space="0" w:color="auto"/>
              <w:right w:val="nil"/>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M52</w:t>
            </w:r>
          </w:p>
        </w:tc>
        <w:tc>
          <w:tcPr>
            <w:tcW w:w="1984" w:type="dxa"/>
            <w:tcBorders>
              <w:top w:val="nil"/>
              <w:left w:val="nil"/>
              <w:bottom w:val="single" w:sz="4" w:space="0" w:color="auto"/>
              <w:right w:val="single" w:sz="4" w:space="0" w:color="auto"/>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M57</w:t>
            </w:r>
          </w:p>
        </w:tc>
        <w:tc>
          <w:tcPr>
            <w:tcW w:w="1680" w:type="dxa"/>
            <w:tcBorders>
              <w:top w:val="nil"/>
              <w:left w:val="nil"/>
              <w:bottom w:val="single" w:sz="4" w:space="0" w:color="auto"/>
              <w:right w:val="nil"/>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M71</w:t>
            </w:r>
          </w:p>
        </w:tc>
        <w:tc>
          <w:tcPr>
            <w:tcW w:w="2071" w:type="dxa"/>
            <w:gridSpan w:val="2"/>
            <w:tcBorders>
              <w:top w:val="nil"/>
              <w:left w:val="nil"/>
              <w:bottom w:val="single" w:sz="4" w:space="0" w:color="auto"/>
              <w:right w:val="single" w:sz="4" w:space="0" w:color="auto"/>
            </w:tcBorders>
            <w:shd w:val="clear" w:color="auto" w:fill="auto"/>
            <w:vAlign w:val="bottom"/>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Nomenclature M57</w:t>
            </w:r>
          </w:p>
        </w:tc>
      </w:tr>
      <w:tr w:rsidR="00736D51" w:rsidRPr="00EF379B" w:rsidTr="00736D51">
        <w:trPr>
          <w:trHeight w:val="340"/>
        </w:trPr>
        <w:tc>
          <w:tcPr>
            <w:tcW w:w="2560" w:type="dxa"/>
            <w:tcBorders>
              <w:top w:val="single" w:sz="4" w:space="0" w:color="auto"/>
              <w:left w:val="single" w:sz="4" w:space="0" w:color="auto"/>
              <w:bottom w:val="single" w:sz="4" w:space="0" w:color="auto"/>
              <w:right w:val="nil"/>
            </w:tcBorders>
            <w:shd w:val="clear" w:color="auto" w:fill="auto"/>
            <w:vAlign w:val="center"/>
            <w:hideMark/>
          </w:tcPr>
          <w:p w:rsidR="00736D51" w:rsidRPr="00EF379B"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
                <w:bCs/>
                <w:sz w:val="16"/>
                <w:szCs w:val="16"/>
                <w:lang w:eastAsia="fr-FR"/>
              </w:rPr>
              <w:t>Recettes</w:t>
            </w:r>
            <w:r w:rsidRPr="00294927">
              <w:rPr>
                <w:rFonts w:ascii="Bookman Old Style" w:eastAsia="Times New Roman" w:hAnsi="Bookman Old Style" w:cs="Times New Roman"/>
                <w:b/>
                <w:bCs/>
                <w:sz w:val="16"/>
                <w:szCs w:val="16"/>
                <w:lang w:eastAsia="fr-FR"/>
              </w:rPr>
              <w:t xml:space="preserve"> de fonctionnement</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3751" w:type="dxa"/>
            <w:gridSpan w:val="3"/>
            <w:tcBorders>
              <w:top w:val="single" w:sz="4" w:space="0" w:color="auto"/>
              <w:left w:val="nil"/>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tcPr>
          <w:p w:rsidR="00736D51"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DMTO (droits de mutations à titre onéreux)</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es comptes</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w:t>
            </w:r>
            <w:r>
              <w:rPr>
                <w:rFonts w:ascii="Bookman Old Style" w:eastAsia="Times New Roman" w:hAnsi="Bookman Old Style" w:cs="Times New Roman"/>
                <w:sz w:val="16"/>
                <w:szCs w:val="16"/>
                <w:lang w:eastAsia="fr-FR"/>
              </w:rPr>
              <w:t>321, 7322</w:t>
            </w:r>
          </w:p>
        </w:tc>
        <w:tc>
          <w:tcPr>
            <w:tcW w:w="1984" w:type="dxa"/>
            <w:tcBorders>
              <w:top w:val="single" w:sz="4" w:space="0" w:color="auto"/>
              <w:left w:val="nil"/>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es comptes</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w:t>
            </w:r>
            <w:r>
              <w:rPr>
                <w:rFonts w:ascii="Bookman Old Style" w:eastAsia="Times New Roman" w:hAnsi="Bookman Old Style" w:cs="Times New Roman"/>
                <w:sz w:val="16"/>
                <w:szCs w:val="16"/>
                <w:lang w:eastAsia="fr-FR"/>
              </w:rPr>
              <w:t>3211, 73212</w:t>
            </w:r>
          </w:p>
        </w:tc>
        <w:tc>
          <w:tcPr>
            <w:tcW w:w="3751" w:type="dxa"/>
            <w:gridSpan w:val="3"/>
            <w:tcBorders>
              <w:top w:val="single" w:sz="4" w:space="0" w:color="auto"/>
              <w:left w:val="nil"/>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tcPr>
          <w:p w:rsidR="00736D51"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TICPE (Taxe intérieure sur les produits énergétiques)</w:t>
            </w:r>
          </w:p>
          <w:p w:rsidR="00736D51"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w:t>
            </w:r>
            <w:proofErr w:type="spellStart"/>
            <w:r>
              <w:rPr>
                <w:rFonts w:ascii="Bookman Old Style" w:eastAsia="Times New Roman" w:hAnsi="Bookman Old Style" w:cs="Times New Roman"/>
                <w:bCs/>
                <w:sz w:val="16"/>
                <w:szCs w:val="16"/>
                <w:lang w:eastAsia="fr-FR"/>
              </w:rPr>
              <w:t>Rq</w:t>
            </w:r>
            <w:proofErr w:type="spellEnd"/>
            <w:r>
              <w:rPr>
                <w:rFonts w:ascii="Bookman Old Style" w:eastAsia="Times New Roman" w:hAnsi="Bookman Old Style" w:cs="Times New Roman"/>
                <w:bCs/>
                <w:sz w:val="16"/>
                <w:szCs w:val="16"/>
                <w:lang w:eastAsia="fr-FR"/>
              </w:rPr>
              <w:t xml:space="preserve"> le compte 10223 fait partie de la section d’investissement)</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1985" w:type="dxa"/>
            <w:tcBorders>
              <w:top w:val="single" w:sz="4" w:space="0" w:color="auto"/>
              <w:left w:val="nil"/>
              <w:bottom w:val="single" w:sz="4" w:space="0" w:color="auto"/>
              <w:right w:val="single" w:sz="4" w:space="0" w:color="000000"/>
            </w:tcBorders>
            <w:shd w:val="clear" w:color="auto" w:fill="auto"/>
            <w:vAlign w:val="center"/>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w:t>
            </w:r>
          </w:p>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7352</w:t>
            </w:r>
          </w:p>
        </w:tc>
        <w:tc>
          <w:tcPr>
            <w:tcW w:w="1984" w:type="dxa"/>
            <w:tcBorders>
              <w:top w:val="single" w:sz="4" w:space="0" w:color="auto"/>
              <w:left w:val="nil"/>
              <w:bottom w:val="single" w:sz="4" w:space="0" w:color="auto"/>
              <w:right w:val="single" w:sz="4" w:space="0" w:color="000000"/>
            </w:tcBorders>
            <w:shd w:val="clear" w:color="auto" w:fill="auto"/>
            <w:vAlign w:val="center"/>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des comptes</w:t>
            </w:r>
          </w:p>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7352, 73822, 73842, 7385</w:t>
            </w:r>
          </w:p>
        </w:tc>
        <w:tc>
          <w:tcPr>
            <w:tcW w:w="1982" w:type="dxa"/>
            <w:gridSpan w:val="2"/>
            <w:tcBorders>
              <w:top w:val="single" w:sz="4" w:space="0" w:color="auto"/>
              <w:left w:val="nil"/>
              <w:bottom w:val="single" w:sz="4" w:space="0" w:color="auto"/>
              <w:right w:val="single" w:sz="4" w:space="0" w:color="000000"/>
            </w:tcBorders>
            <w:shd w:val="clear" w:color="auto" w:fill="auto"/>
            <w:vAlign w:val="center"/>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des comptes</w:t>
            </w:r>
          </w:p>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732, 73822, 7383, 73842, 7385</w:t>
            </w:r>
          </w:p>
        </w:tc>
        <w:tc>
          <w:tcPr>
            <w:tcW w:w="1769" w:type="dxa"/>
            <w:tcBorders>
              <w:top w:val="single" w:sz="4" w:space="0" w:color="auto"/>
              <w:left w:val="nil"/>
              <w:bottom w:val="single" w:sz="4" w:space="0" w:color="auto"/>
              <w:right w:val="single" w:sz="4" w:space="0" w:color="000000"/>
            </w:tcBorders>
            <w:shd w:val="clear" w:color="auto" w:fill="auto"/>
            <w:vAlign w:val="center"/>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des comptes</w:t>
            </w:r>
          </w:p>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7352, 73822, 73842, 7385</w:t>
            </w: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hideMark/>
          </w:tcPr>
          <w:p w:rsidR="00736D51" w:rsidRPr="00EF379B"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TSCA (taxe sur les conventions d’assurance)</w:t>
            </w:r>
          </w:p>
        </w:tc>
        <w:tc>
          <w:tcPr>
            <w:tcW w:w="211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7342</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7342</w:t>
            </w:r>
          </w:p>
        </w:tc>
        <w:tc>
          <w:tcPr>
            <w:tcW w:w="1982"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1769" w:type="dxa"/>
            <w:tcBorders>
              <w:top w:val="single" w:sz="4" w:space="0" w:color="auto"/>
              <w:left w:val="nil"/>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7342</w:t>
            </w: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hideMark/>
          </w:tcPr>
          <w:p w:rsidR="00736D51"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Taxe sur les cartes grises</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p>
        </w:tc>
        <w:tc>
          <w:tcPr>
            <w:tcW w:w="1982"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7344 à partir de 2014,</w:t>
            </w:r>
          </w:p>
          <w:p w:rsidR="00736D51"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7342 avant 2014</w:t>
            </w:r>
          </w:p>
        </w:tc>
        <w:tc>
          <w:tcPr>
            <w:tcW w:w="1769" w:type="dxa"/>
            <w:tcBorders>
              <w:top w:val="single" w:sz="4" w:space="0" w:color="auto"/>
              <w:left w:val="nil"/>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Pr>
                <w:rFonts w:ascii="Bookman Old Style" w:eastAsia="Times New Roman" w:hAnsi="Bookman Old Style" w:cs="Times New Roman"/>
                <w:sz w:val="16"/>
                <w:szCs w:val="16"/>
                <w:lang w:eastAsia="fr-FR"/>
              </w:rPr>
              <w:t>crédit net du compte 7344</w:t>
            </w: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hideMark/>
          </w:tcPr>
          <w:p w:rsidR="00736D51" w:rsidRPr="00EF379B" w:rsidRDefault="00736D51" w:rsidP="009530AA">
            <w:pPr>
              <w:spacing w:after="0" w:line="240" w:lineRule="auto"/>
              <w:rPr>
                <w:rFonts w:ascii="Bookman Old Style" w:eastAsia="Times New Roman" w:hAnsi="Bookman Old Style" w:cs="Times New Roman"/>
                <w:bCs/>
                <w:sz w:val="16"/>
                <w:szCs w:val="16"/>
                <w:lang w:eastAsia="fr-FR"/>
              </w:rPr>
            </w:pPr>
            <w:r w:rsidRPr="00EF379B">
              <w:rPr>
                <w:rFonts w:ascii="Bookman Old Style" w:eastAsia="Times New Roman" w:hAnsi="Bookman Old Style" w:cs="Times New Roman"/>
                <w:bCs/>
                <w:sz w:val="16"/>
                <w:szCs w:val="16"/>
                <w:lang w:eastAsia="fr-FR"/>
              </w:rPr>
              <w:t>DGF</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741</w:t>
            </w:r>
          </w:p>
        </w:tc>
        <w:tc>
          <w:tcPr>
            <w:tcW w:w="3751" w:type="dxa"/>
            <w:gridSpan w:val="3"/>
            <w:tcBorders>
              <w:top w:val="single" w:sz="4" w:space="0" w:color="auto"/>
              <w:left w:val="nil"/>
              <w:bottom w:val="single" w:sz="4" w:space="0" w:color="auto"/>
              <w:right w:val="single" w:sz="4" w:space="0" w:color="000000"/>
            </w:tcBorders>
            <w:shd w:val="clear" w:color="auto" w:fill="auto"/>
            <w:vAlign w:val="center"/>
            <w:hideMark/>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741</w:t>
            </w: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tcPr>
          <w:p w:rsidR="00736D51" w:rsidRPr="00EF379B"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Autres dotations</w:t>
            </w:r>
          </w:p>
        </w:tc>
        <w:tc>
          <w:tcPr>
            <w:tcW w:w="2118" w:type="dxa"/>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w:t>
            </w:r>
            <w:r>
              <w:rPr>
                <w:rFonts w:ascii="Bookman Old Style" w:eastAsia="Times New Roman" w:hAnsi="Bookman Old Style" w:cs="Times New Roman"/>
                <w:sz w:val="16"/>
                <w:szCs w:val="16"/>
                <w:lang w:eastAsia="fr-FR"/>
              </w:rPr>
              <w:t xml:space="preserve"> des comptes 742, 744, 745, 746</w:t>
            </w:r>
          </w:p>
        </w:tc>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w:t>
            </w:r>
            <w:r>
              <w:rPr>
                <w:rFonts w:ascii="Bookman Old Style" w:eastAsia="Times New Roman" w:hAnsi="Bookman Old Style" w:cs="Times New Roman"/>
                <w:sz w:val="16"/>
                <w:szCs w:val="16"/>
                <w:lang w:eastAsia="fr-FR"/>
              </w:rPr>
              <w:t xml:space="preserve"> des comptes 742, 743, 745, 746</w:t>
            </w:r>
          </w:p>
        </w:tc>
        <w:tc>
          <w:tcPr>
            <w:tcW w:w="3969" w:type="dxa"/>
            <w:gridSpan w:val="2"/>
            <w:tcBorders>
              <w:top w:val="single" w:sz="4" w:space="0" w:color="auto"/>
              <w:left w:val="nil"/>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w:t>
            </w:r>
            <w:r>
              <w:rPr>
                <w:rFonts w:ascii="Bookman Old Style" w:eastAsia="Times New Roman" w:hAnsi="Bookman Old Style" w:cs="Times New Roman"/>
                <w:sz w:val="16"/>
                <w:szCs w:val="16"/>
                <w:lang w:eastAsia="fr-FR"/>
              </w:rPr>
              <w:t xml:space="preserve"> des comptes 742, 743, 745, 746</w:t>
            </w:r>
          </w:p>
        </w:tc>
        <w:tc>
          <w:tcPr>
            <w:tcW w:w="3751" w:type="dxa"/>
            <w:gridSpan w:val="3"/>
            <w:tcBorders>
              <w:top w:val="single" w:sz="4" w:space="0" w:color="auto"/>
              <w:left w:val="nil"/>
              <w:bottom w:val="single" w:sz="4" w:space="0" w:color="auto"/>
              <w:right w:val="single" w:sz="4" w:space="0" w:color="000000"/>
            </w:tcBorders>
            <w:shd w:val="clear" w:color="auto" w:fill="auto"/>
            <w:vAlign w:val="center"/>
          </w:tcPr>
          <w:p w:rsidR="00736D51" w:rsidRPr="00294927"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w:t>
            </w:r>
            <w:r>
              <w:rPr>
                <w:rFonts w:ascii="Bookman Old Style" w:eastAsia="Times New Roman" w:hAnsi="Bookman Old Style" w:cs="Times New Roman"/>
                <w:sz w:val="16"/>
                <w:szCs w:val="16"/>
                <w:lang w:eastAsia="fr-FR"/>
              </w:rPr>
              <w:t xml:space="preserve"> des comptes 742, 743, 745, 746</w:t>
            </w:r>
          </w:p>
        </w:tc>
      </w:tr>
      <w:tr w:rsidR="00736D51" w:rsidRPr="00EF379B" w:rsidTr="00736D51">
        <w:trPr>
          <w:trHeight w:val="283"/>
        </w:trPr>
        <w:tc>
          <w:tcPr>
            <w:tcW w:w="2560" w:type="dxa"/>
            <w:tcBorders>
              <w:top w:val="single" w:sz="4" w:space="0" w:color="auto"/>
              <w:left w:val="single" w:sz="4" w:space="0" w:color="auto"/>
              <w:bottom w:val="single" w:sz="4" w:space="0" w:color="auto"/>
              <w:right w:val="nil"/>
            </w:tcBorders>
            <w:shd w:val="clear" w:color="auto" w:fill="auto"/>
            <w:vAlign w:val="center"/>
          </w:tcPr>
          <w:p w:rsidR="00736D51" w:rsidRDefault="00736D51" w:rsidP="009530AA">
            <w:pPr>
              <w:spacing w:after="0" w:line="240" w:lineRule="auto"/>
              <w:rPr>
                <w:rFonts w:ascii="Bookman Old Style" w:eastAsia="Times New Roman" w:hAnsi="Bookman Old Style" w:cs="Times New Roman"/>
                <w:bCs/>
                <w:sz w:val="16"/>
                <w:szCs w:val="16"/>
                <w:lang w:eastAsia="fr-FR"/>
              </w:rPr>
            </w:pPr>
            <w:r>
              <w:rPr>
                <w:rFonts w:ascii="Bookman Old Style" w:eastAsia="Times New Roman" w:hAnsi="Bookman Old Style" w:cs="Times New Roman"/>
                <w:bCs/>
                <w:sz w:val="16"/>
                <w:szCs w:val="16"/>
                <w:lang w:eastAsia="fr-FR"/>
              </w:rPr>
              <w:t>Péréquations et compensations fiscales</w:t>
            </w:r>
          </w:p>
        </w:tc>
        <w:tc>
          <w:tcPr>
            <w:tcW w:w="409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w:t>
            </w:r>
            <w:r>
              <w:rPr>
                <w:rFonts w:ascii="Bookman Old Style" w:eastAsia="Times New Roman" w:hAnsi="Bookman Old Style" w:cs="Times New Roman"/>
                <w:sz w:val="16"/>
                <w:szCs w:val="16"/>
                <w:lang w:eastAsia="fr-FR"/>
              </w:rPr>
              <w:t>83</w:t>
            </w:r>
          </w:p>
        </w:tc>
        <w:tc>
          <w:tcPr>
            <w:tcW w:w="3969" w:type="dxa"/>
            <w:gridSpan w:val="2"/>
            <w:tcBorders>
              <w:top w:val="single" w:sz="4" w:space="0" w:color="auto"/>
              <w:left w:val="nil"/>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w:t>
            </w:r>
            <w:r>
              <w:rPr>
                <w:rFonts w:ascii="Bookman Old Style" w:eastAsia="Times New Roman" w:hAnsi="Bookman Old Style" w:cs="Times New Roman"/>
                <w:sz w:val="16"/>
                <w:szCs w:val="16"/>
                <w:lang w:eastAsia="fr-FR"/>
              </w:rPr>
              <w:t>83</w:t>
            </w:r>
          </w:p>
        </w:tc>
        <w:tc>
          <w:tcPr>
            <w:tcW w:w="3751" w:type="dxa"/>
            <w:gridSpan w:val="3"/>
            <w:tcBorders>
              <w:top w:val="single" w:sz="4" w:space="0" w:color="auto"/>
              <w:left w:val="nil"/>
              <w:bottom w:val="single" w:sz="4" w:space="0" w:color="auto"/>
              <w:right w:val="single" w:sz="4" w:space="0" w:color="000000"/>
            </w:tcBorders>
            <w:shd w:val="clear" w:color="auto" w:fill="auto"/>
            <w:vAlign w:val="center"/>
          </w:tcPr>
          <w:p w:rsidR="00736D51" w:rsidRPr="00EF379B" w:rsidRDefault="00736D51" w:rsidP="009530AA">
            <w:pPr>
              <w:spacing w:after="0" w:line="240" w:lineRule="auto"/>
              <w:jc w:val="center"/>
              <w:rPr>
                <w:rFonts w:ascii="Bookman Old Style" w:eastAsia="Times New Roman" w:hAnsi="Bookman Old Style" w:cs="Times New Roman"/>
                <w:sz w:val="16"/>
                <w:szCs w:val="16"/>
                <w:lang w:eastAsia="fr-FR"/>
              </w:rPr>
            </w:pPr>
            <w:r w:rsidRPr="00294927">
              <w:rPr>
                <w:rFonts w:ascii="Bookman Old Style" w:eastAsia="Times New Roman" w:hAnsi="Bookman Old Style" w:cs="Times New Roman"/>
                <w:sz w:val="16"/>
                <w:szCs w:val="16"/>
                <w:lang w:eastAsia="fr-FR"/>
              </w:rPr>
              <w:t>crédit net d</w:t>
            </w:r>
            <w:r>
              <w:rPr>
                <w:rFonts w:ascii="Bookman Old Style" w:eastAsia="Times New Roman" w:hAnsi="Bookman Old Style" w:cs="Times New Roman"/>
                <w:sz w:val="16"/>
                <w:szCs w:val="16"/>
                <w:lang w:eastAsia="fr-FR"/>
              </w:rPr>
              <w:t>u compte</w:t>
            </w:r>
            <w:r w:rsidRPr="00294927">
              <w:rPr>
                <w:rFonts w:ascii="Bookman Old Style" w:eastAsia="Times New Roman" w:hAnsi="Bookman Old Style" w:cs="Times New Roman"/>
                <w:sz w:val="16"/>
                <w:szCs w:val="16"/>
                <w:lang w:eastAsia="fr-FR"/>
              </w:rPr>
              <w:t xml:space="preserve"> </w:t>
            </w:r>
            <w:r w:rsidRPr="00EF379B">
              <w:rPr>
                <w:rFonts w:ascii="Bookman Old Style" w:eastAsia="Times New Roman" w:hAnsi="Bookman Old Style" w:cs="Times New Roman"/>
                <w:sz w:val="16"/>
                <w:szCs w:val="16"/>
                <w:lang w:eastAsia="fr-FR"/>
              </w:rPr>
              <w:t>74</w:t>
            </w:r>
            <w:r>
              <w:rPr>
                <w:rFonts w:ascii="Bookman Old Style" w:eastAsia="Times New Roman" w:hAnsi="Bookman Old Style" w:cs="Times New Roman"/>
                <w:sz w:val="16"/>
                <w:szCs w:val="16"/>
                <w:lang w:eastAsia="fr-FR"/>
              </w:rPr>
              <w:t>83</w:t>
            </w:r>
          </w:p>
        </w:tc>
      </w:tr>
    </w:tbl>
    <w:p w:rsidR="00736D51" w:rsidRDefault="00736D51" w:rsidP="00736D51">
      <w:pPr>
        <w:ind w:right="-851"/>
        <w:jc w:val="both"/>
      </w:pPr>
    </w:p>
    <w:p w:rsidR="00A92832" w:rsidRDefault="00A92832" w:rsidP="00736D51">
      <w:pPr>
        <w:spacing w:after="120"/>
        <w:ind w:left="-142"/>
        <w:jc w:val="center"/>
        <w:sectPr w:rsidR="00A92832" w:rsidSect="00736D51">
          <w:pgSz w:w="16840" w:h="11907" w:orient="landscape" w:code="9"/>
          <w:pgMar w:top="907" w:right="737" w:bottom="851" w:left="737" w:header="709" w:footer="709" w:gutter="0"/>
          <w:cols w:space="708"/>
          <w:docGrid w:linePitch="360"/>
        </w:sectPr>
      </w:pPr>
    </w:p>
    <w:p w:rsidR="002803FB" w:rsidRPr="002803FB" w:rsidRDefault="002803FB" w:rsidP="002803FB">
      <w:pPr>
        <w:jc w:val="center"/>
        <w:rPr>
          <w:b/>
        </w:rPr>
      </w:pPr>
      <w:r w:rsidRPr="002803FB">
        <w:rPr>
          <w:b/>
        </w:rPr>
        <w:lastRenderedPageBreak/>
        <w:t>Annexe 5 - Consolidation entre budgets principaux et annexes : définitions</w:t>
      </w:r>
    </w:p>
    <w:p w:rsidR="002803FB" w:rsidRPr="009A6233" w:rsidRDefault="002803FB" w:rsidP="002803FB">
      <w:pPr>
        <w:jc w:val="both"/>
        <w:rPr>
          <w:sz w:val="23"/>
        </w:rPr>
      </w:pPr>
      <w:r w:rsidRPr="002803FB">
        <w:t>Pour obtenir le compte consolidé, on soustrait à la somme des BP et des BA le montant correspondant aux opérations suivantes :</w:t>
      </w:r>
    </w:p>
    <w:tbl>
      <w:tblPr>
        <w:tblW w:w="10633" w:type="dxa"/>
        <w:tblInd w:w="-701" w:type="dxa"/>
        <w:tblLayout w:type="fixed"/>
        <w:tblCellMar>
          <w:left w:w="0" w:type="dxa"/>
          <w:right w:w="0" w:type="dxa"/>
        </w:tblCellMar>
        <w:tblLook w:val="0600"/>
      </w:tblPr>
      <w:tblGrid>
        <w:gridCol w:w="2977"/>
        <w:gridCol w:w="1418"/>
        <w:gridCol w:w="1559"/>
        <w:gridCol w:w="1560"/>
        <w:gridCol w:w="1559"/>
        <w:gridCol w:w="1560"/>
      </w:tblGrid>
      <w:tr w:rsidR="002803FB" w:rsidRPr="00B549BD" w:rsidTr="002803FB">
        <w:trPr>
          <w:trHeight w:val="367"/>
          <w:tblHeader/>
        </w:trPr>
        <w:tc>
          <w:tcPr>
            <w:tcW w:w="2977" w:type="dxa"/>
            <w:tcBorders>
              <w:top w:val="single" w:sz="2" w:space="0" w:color="000000"/>
              <w:left w:val="single" w:sz="6" w:space="0" w:color="000000"/>
              <w:bottom w:val="single" w:sz="2" w:space="0" w:color="000000"/>
              <w:right w:val="dotted" w:sz="4" w:space="0" w:color="000000"/>
            </w:tcBorders>
            <w:tcMar>
              <w:top w:w="80" w:type="dxa"/>
              <w:left w:w="0" w:type="dxa"/>
              <w:bottom w:w="80" w:type="dxa"/>
              <w:right w:w="57" w:type="dxa"/>
            </w:tcMar>
          </w:tcPr>
          <w:p w:rsidR="002803FB" w:rsidRPr="00B549BD" w:rsidRDefault="002803FB" w:rsidP="002803FB">
            <w:pPr>
              <w:pStyle w:val="12bAnntab"/>
              <w:spacing w:before="0" w:line="180" w:lineRule="atLeast"/>
              <w:rPr>
                <w:sz w:val="17"/>
              </w:rPr>
            </w:pPr>
            <w:r w:rsidRPr="00B549BD">
              <w:rPr>
                <w:rStyle w:val="Tableaugras"/>
                <w:sz w:val="17"/>
                <w:szCs w:val="13"/>
              </w:rPr>
              <w:t>Nature des flux</w:t>
            </w:r>
          </w:p>
        </w:tc>
        <w:tc>
          <w:tcPr>
            <w:tcW w:w="1418" w:type="dxa"/>
            <w:tcBorders>
              <w:top w:val="single" w:sz="2" w:space="0" w:color="000000"/>
              <w:left w:val="dotted" w:sz="4" w:space="0" w:color="000000"/>
              <w:bottom w:val="single" w:sz="2" w:space="0" w:color="000000"/>
              <w:right w:val="dotted" w:sz="4" w:space="0" w:color="000000"/>
            </w:tcBorders>
            <w:tcMar>
              <w:top w:w="80" w:type="dxa"/>
              <w:left w:w="57" w:type="dxa"/>
              <w:bottom w:w="80" w:type="dxa"/>
              <w:right w:w="57" w:type="dxa"/>
            </w:tcMar>
          </w:tcPr>
          <w:p w:rsidR="002803FB" w:rsidRPr="00B549BD" w:rsidRDefault="002803FB" w:rsidP="002803FB">
            <w:pPr>
              <w:pStyle w:val="12bAnntab"/>
              <w:spacing w:before="0" w:line="180" w:lineRule="atLeast"/>
              <w:jc w:val="center"/>
              <w:rPr>
                <w:sz w:val="17"/>
              </w:rPr>
            </w:pPr>
            <w:r w:rsidRPr="00B549BD">
              <w:rPr>
                <w:rStyle w:val="Tableaugras"/>
                <w:sz w:val="17"/>
                <w:szCs w:val="13"/>
              </w:rPr>
              <w:t>Communes (BP+BA)</w:t>
            </w:r>
          </w:p>
        </w:tc>
        <w:tc>
          <w:tcPr>
            <w:tcW w:w="1559" w:type="dxa"/>
            <w:tcBorders>
              <w:top w:val="single" w:sz="2" w:space="0" w:color="000000"/>
              <w:left w:val="dotted" w:sz="4" w:space="0" w:color="000000"/>
              <w:bottom w:val="single" w:sz="2" w:space="0" w:color="000000"/>
              <w:right w:val="dotted" w:sz="4" w:space="0" w:color="000000"/>
            </w:tcBorders>
            <w:tcMar>
              <w:top w:w="80" w:type="dxa"/>
              <w:left w:w="57" w:type="dxa"/>
              <w:bottom w:w="80" w:type="dxa"/>
              <w:right w:w="57" w:type="dxa"/>
            </w:tcMar>
          </w:tcPr>
          <w:p w:rsidR="002803FB" w:rsidRPr="00B549BD" w:rsidRDefault="002803FB" w:rsidP="002803FB">
            <w:pPr>
              <w:pStyle w:val="12bAnntab"/>
              <w:spacing w:before="0" w:line="180" w:lineRule="atLeast"/>
              <w:jc w:val="center"/>
              <w:rPr>
                <w:sz w:val="17"/>
              </w:rPr>
            </w:pPr>
            <w:r w:rsidRPr="00B549BD">
              <w:rPr>
                <w:rStyle w:val="Tableaugras"/>
                <w:sz w:val="17"/>
                <w:szCs w:val="13"/>
              </w:rPr>
              <w:t xml:space="preserve">GFP </w:t>
            </w:r>
            <w:r w:rsidRPr="00B549BD">
              <w:rPr>
                <w:rStyle w:val="Tableaugras"/>
                <w:sz w:val="17"/>
                <w:szCs w:val="13"/>
              </w:rPr>
              <w:br/>
              <w:t>(BP+BA)</w:t>
            </w:r>
          </w:p>
        </w:tc>
        <w:tc>
          <w:tcPr>
            <w:tcW w:w="1560" w:type="dxa"/>
            <w:tcBorders>
              <w:top w:val="single" w:sz="2" w:space="0" w:color="000000"/>
              <w:left w:val="dotted" w:sz="4" w:space="0" w:color="000000"/>
              <w:bottom w:val="single" w:sz="2" w:space="0" w:color="000000"/>
              <w:right w:val="dotted" w:sz="4" w:space="0" w:color="000000"/>
            </w:tcBorders>
            <w:tcMar>
              <w:top w:w="80" w:type="dxa"/>
              <w:left w:w="57" w:type="dxa"/>
              <w:bottom w:w="80" w:type="dxa"/>
              <w:right w:w="57" w:type="dxa"/>
            </w:tcMar>
          </w:tcPr>
          <w:p w:rsidR="002803FB" w:rsidRPr="00B549BD" w:rsidRDefault="002803FB" w:rsidP="002803FB">
            <w:pPr>
              <w:pStyle w:val="12bAnntab"/>
              <w:spacing w:before="0" w:line="180" w:lineRule="atLeast"/>
              <w:jc w:val="center"/>
              <w:rPr>
                <w:sz w:val="17"/>
              </w:rPr>
            </w:pPr>
            <w:r w:rsidRPr="00B549BD">
              <w:rPr>
                <w:rStyle w:val="Tableaugras"/>
                <w:sz w:val="17"/>
                <w:szCs w:val="13"/>
              </w:rPr>
              <w:t>Départements (BP+BA)</w:t>
            </w:r>
          </w:p>
        </w:tc>
        <w:tc>
          <w:tcPr>
            <w:tcW w:w="1559" w:type="dxa"/>
            <w:tcBorders>
              <w:top w:val="single" w:sz="2" w:space="0" w:color="000000"/>
              <w:left w:val="dotted" w:sz="4" w:space="0" w:color="000000"/>
              <w:bottom w:val="single" w:sz="2" w:space="0" w:color="000000"/>
              <w:right w:val="dotted" w:sz="4" w:space="0" w:color="000000"/>
            </w:tcBorders>
            <w:tcMar>
              <w:top w:w="80" w:type="dxa"/>
              <w:left w:w="57" w:type="dxa"/>
              <w:bottom w:w="80" w:type="dxa"/>
              <w:right w:w="57" w:type="dxa"/>
            </w:tcMar>
          </w:tcPr>
          <w:p w:rsidR="002803FB" w:rsidRPr="00B549BD" w:rsidRDefault="002803FB" w:rsidP="002803FB">
            <w:pPr>
              <w:pStyle w:val="12bAnntab"/>
              <w:spacing w:before="0" w:line="180" w:lineRule="atLeast"/>
              <w:jc w:val="center"/>
              <w:rPr>
                <w:sz w:val="17"/>
              </w:rPr>
            </w:pPr>
            <w:r w:rsidRPr="00B549BD">
              <w:rPr>
                <w:rStyle w:val="Tableaugras"/>
                <w:sz w:val="17"/>
                <w:szCs w:val="13"/>
              </w:rPr>
              <w:t xml:space="preserve">Régions </w:t>
            </w:r>
            <w:r w:rsidRPr="00B549BD">
              <w:rPr>
                <w:rStyle w:val="Tableaugras"/>
                <w:sz w:val="17"/>
                <w:szCs w:val="13"/>
              </w:rPr>
              <w:br/>
              <w:t>(BP+BA)</w:t>
            </w:r>
          </w:p>
        </w:tc>
        <w:tc>
          <w:tcPr>
            <w:tcW w:w="1560" w:type="dxa"/>
            <w:tcBorders>
              <w:top w:val="single" w:sz="2" w:space="0" w:color="000000"/>
              <w:left w:val="dotted" w:sz="4" w:space="0" w:color="000000"/>
              <w:bottom w:val="single" w:sz="2" w:space="0" w:color="000000"/>
              <w:right w:val="dotted" w:sz="6" w:space="0" w:color="000000"/>
            </w:tcBorders>
            <w:tcMar>
              <w:top w:w="80" w:type="dxa"/>
              <w:left w:w="57" w:type="dxa"/>
              <w:bottom w:w="80" w:type="dxa"/>
              <w:right w:w="57" w:type="dxa"/>
            </w:tcMar>
          </w:tcPr>
          <w:p w:rsidR="002803FB" w:rsidRPr="00B549BD" w:rsidRDefault="002803FB" w:rsidP="002803FB">
            <w:pPr>
              <w:pStyle w:val="12bAnntab"/>
              <w:spacing w:before="0" w:line="180" w:lineRule="atLeast"/>
              <w:jc w:val="center"/>
              <w:rPr>
                <w:sz w:val="17"/>
              </w:rPr>
            </w:pPr>
            <w:r w:rsidRPr="00B549BD">
              <w:rPr>
                <w:rStyle w:val="Tableaugras"/>
                <w:sz w:val="17"/>
                <w:szCs w:val="13"/>
              </w:rPr>
              <w:t xml:space="preserve">CTU </w:t>
            </w:r>
            <w:r w:rsidRPr="00B549BD">
              <w:rPr>
                <w:rStyle w:val="Tableaugras"/>
                <w:sz w:val="17"/>
                <w:szCs w:val="13"/>
              </w:rPr>
              <w:br/>
              <w:t>(BP+BA)</w:t>
            </w:r>
          </w:p>
        </w:tc>
      </w:tr>
      <w:tr w:rsidR="002803FB" w:rsidRPr="00B549BD" w:rsidTr="002803FB">
        <w:trPr>
          <w:trHeight w:hRule="exact" w:val="227"/>
        </w:trPr>
        <w:tc>
          <w:tcPr>
            <w:tcW w:w="2977" w:type="dxa"/>
            <w:tcBorders>
              <w:top w:val="single" w:sz="6"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0" w:line="240" w:lineRule="auto"/>
              <w:rPr>
                <w:sz w:val="17"/>
              </w:rPr>
            </w:pPr>
            <w:r w:rsidRPr="00B549BD">
              <w:rPr>
                <w:rStyle w:val="Tableaugrasbleu"/>
                <w:sz w:val="17"/>
                <w:szCs w:val="13"/>
              </w:rPr>
              <w:t xml:space="preserve">Dépenses de fonctionnement </w:t>
            </w:r>
          </w:p>
        </w:tc>
        <w:tc>
          <w:tcPr>
            <w:tcW w:w="1418" w:type="dxa"/>
            <w:tcBorders>
              <w:top w:val="single"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single"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single"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single"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single" w:sz="2"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71"/>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Achats et charges externes</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188"/>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 frais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62872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 frais </w:t>
            </w:r>
            <w:r w:rsidRPr="00B549BD">
              <w:rPr>
                <w:sz w:val="17"/>
                <w:szCs w:val="13"/>
              </w:rPr>
              <w:br/>
              <w:t>des BA aux BP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62871(M14) et 6287 (M14A et M4+)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(M14, M57) et 6287 (M14A et M4+)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70872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(M71, M57) et 6287 (M14A et M4+)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(M71, M57) et 6287 (M14A et M4+)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Frais de personnel</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Personnel facturé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70841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Charges financières</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Remboursements d’intérêts aux BP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661133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661133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Dépenses d’intervention</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Subventions de fonctionnement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657363 et 657364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657363 et 657364 (6573641 en M57)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65733 et 65736 des BP (6573641 en M57)</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7472 (M71, M43) et 747 (M49)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7472, 7473 (M71, M43) et 747 (M49)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Autres dépenses de fonctionnement</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Prise en charge par le BP du déficit des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6521 (65821 en M57)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65821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75822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75822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Reversement au BP de l’excédent des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6522 (M14 et M14A) et 672 (M4+)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6522 (M14 et M14A), 65822 (M57) et 672 (M4+)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75821 et 75861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65822 (M71, M57) et 672 (M4+)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65822 (M71, M57) et 672 (M4+) des BA</w:t>
            </w:r>
          </w:p>
        </w:tc>
      </w:tr>
      <w:tr w:rsidR="002803FB" w:rsidRPr="00B549BD" w:rsidTr="002803FB">
        <w:trPr>
          <w:trHeight w:val="60"/>
        </w:trPr>
        <w:tc>
          <w:tcPr>
            <w:tcW w:w="2977" w:type="dxa"/>
            <w:tcBorders>
              <w:top w:val="dotted" w:sz="4" w:space="0" w:color="000000"/>
              <w:left w:val="single" w:sz="6" w:space="0" w:color="000000"/>
              <w:bottom w:val="single" w:sz="2"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Subventions exceptionnelles aux BA :</w:t>
            </w:r>
          </w:p>
        </w:tc>
        <w:tc>
          <w:tcPr>
            <w:tcW w:w="1418"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67441 des BP</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67441 (67431 en M57 avant 2018) des BP</w:t>
            </w:r>
          </w:p>
        </w:tc>
        <w:tc>
          <w:tcPr>
            <w:tcW w:w="1560"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6743 des BP</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7748 (M71, M57) et 774 (M4+) des BA</w:t>
            </w:r>
          </w:p>
        </w:tc>
        <w:tc>
          <w:tcPr>
            <w:tcW w:w="1560" w:type="dxa"/>
            <w:tcBorders>
              <w:top w:val="dotted" w:sz="4" w:space="0" w:color="000000"/>
              <w:left w:val="dotted" w:sz="4" w:space="0" w:color="000000"/>
              <w:bottom w:val="single" w:sz="2"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7748 (M71, M57) et 774 (M4+) des BA</w:t>
            </w:r>
          </w:p>
        </w:tc>
      </w:tr>
      <w:tr w:rsidR="002803FB" w:rsidRPr="00B549BD" w:rsidTr="002803FB">
        <w:trPr>
          <w:trHeight w:val="60"/>
        </w:trPr>
        <w:tc>
          <w:tcPr>
            <w:tcW w:w="2977" w:type="dxa"/>
            <w:tcBorders>
              <w:top w:val="single" w:sz="2"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bleu"/>
                <w:sz w:val="17"/>
                <w:szCs w:val="13"/>
              </w:rPr>
              <w:t>Recettes de fonctionnement</w:t>
            </w:r>
          </w:p>
        </w:tc>
        <w:tc>
          <w:tcPr>
            <w:tcW w:w="1418"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single" w:sz="2"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113"/>
        </w:trPr>
        <w:tc>
          <w:tcPr>
            <w:tcW w:w="2977" w:type="dxa"/>
            <w:tcBorders>
              <w:top w:val="dotted" w:sz="4" w:space="0" w:color="000000"/>
              <w:left w:val="single" w:sz="6" w:space="0" w:color="000000"/>
              <w:right w:val="dotted" w:sz="4" w:space="0" w:color="000000"/>
            </w:tcBorders>
            <w:tcMar>
              <w:top w:w="28" w:type="dxa"/>
              <w:left w:w="0" w:type="dxa"/>
              <w:bottom w:w="28" w:type="dxa"/>
              <w:right w:w="57" w:type="dxa"/>
            </w:tcMar>
            <w:vAlign w:val="center"/>
          </w:tcPr>
          <w:p w:rsidR="002803FB" w:rsidRPr="00B549BD" w:rsidRDefault="002803FB" w:rsidP="002803FB">
            <w:pPr>
              <w:pStyle w:val="12bAnntab"/>
              <w:spacing w:before="100" w:beforeAutospacing="1" w:after="100" w:afterAutospacing="1" w:line="240" w:lineRule="auto"/>
              <w:rPr>
                <w:sz w:val="17"/>
              </w:rPr>
            </w:pPr>
            <w:r w:rsidRPr="00B549BD">
              <w:rPr>
                <w:rStyle w:val="Tableaugras"/>
                <w:sz w:val="17"/>
                <w:szCs w:val="13"/>
              </w:rPr>
              <w:t>Impôts et taxes</w:t>
            </w:r>
          </w:p>
        </w:tc>
        <w:tc>
          <w:tcPr>
            <w:tcW w:w="1418" w:type="dxa"/>
            <w:tcBorders>
              <w:top w:val="dotted" w:sz="4" w:space="0" w:color="000000"/>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right w:val="dotted" w:sz="6"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r>
      <w:tr w:rsidR="002803FB" w:rsidRPr="00B549BD" w:rsidTr="002803FB">
        <w:trPr>
          <w:trHeight w:val="113"/>
        </w:trPr>
        <w:tc>
          <w:tcPr>
            <w:tcW w:w="2977" w:type="dxa"/>
            <w:tcBorders>
              <w:left w:val="single" w:sz="6" w:space="0" w:color="000000"/>
              <w:right w:val="dotted" w:sz="4" w:space="0" w:color="000000"/>
            </w:tcBorders>
            <w:tcMar>
              <w:top w:w="28" w:type="dxa"/>
              <w:left w:w="0" w:type="dxa"/>
              <w:bottom w:w="28" w:type="dxa"/>
              <w:right w:w="57" w:type="dxa"/>
            </w:tcMar>
            <w:vAlign w:val="center"/>
          </w:tcPr>
          <w:p w:rsidR="002803FB" w:rsidRPr="00B549BD" w:rsidRDefault="002803FB" w:rsidP="002803FB">
            <w:pPr>
              <w:pStyle w:val="12bAnntab"/>
              <w:spacing w:before="100" w:beforeAutospacing="1" w:after="100" w:afterAutospacing="1" w:line="240" w:lineRule="auto"/>
              <w:rPr>
                <w:sz w:val="17"/>
              </w:rPr>
            </w:pPr>
            <w:r w:rsidRPr="00B549BD">
              <w:rPr>
                <w:rStyle w:val="Tableaugras"/>
                <w:sz w:val="17"/>
                <w:szCs w:val="13"/>
              </w:rPr>
              <w:t>Concours de l’État</w:t>
            </w:r>
          </w:p>
        </w:tc>
        <w:tc>
          <w:tcPr>
            <w:tcW w:w="1418" w:type="dxa"/>
            <w:tcBorders>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left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left w:val="dotted" w:sz="4" w:space="0" w:color="000000"/>
              <w:right w:val="dotted" w:sz="6"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r>
      <w:tr w:rsidR="002803FB" w:rsidRPr="00B549BD" w:rsidTr="002803FB">
        <w:trPr>
          <w:trHeight w:val="113"/>
        </w:trPr>
        <w:tc>
          <w:tcPr>
            <w:tcW w:w="2977" w:type="dxa"/>
            <w:tcBorders>
              <w:left w:val="single" w:sz="6" w:space="0" w:color="000000"/>
              <w:bottom w:val="dotted" w:sz="4" w:space="0" w:color="000000"/>
              <w:right w:val="dotted" w:sz="4" w:space="0" w:color="000000"/>
            </w:tcBorders>
            <w:tcMar>
              <w:top w:w="28" w:type="dxa"/>
              <w:left w:w="0" w:type="dxa"/>
              <w:bottom w:w="28" w:type="dxa"/>
              <w:right w:w="57" w:type="dxa"/>
            </w:tcMar>
            <w:vAlign w:val="center"/>
          </w:tcPr>
          <w:p w:rsidR="002803FB" w:rsidRPr="00B549BD" w:rsidRDefault="002803FB" w:rsidP="002803FB">
            <w:pPr>
              <w:pStyle w:val="12bAnntab"/>
              <w:spacing w:before="100" w:beforeAutospacing="1" w:after="100" w:afterAutospacing="1" w:line="240" w:lineRule="auto"/>
              <w:rPr>
                <w:sz w:val="17"/>
              </w:rPr>
            </w:pPr>
            <w:r w:rsidRPr="00B549BD">
              <w:rPr>
                <w:rStyle w:val="Tableaugras"/>
                <w:sz w:val="17"/>
                <w:szCs w:val="13"/>
              </w:rPr>
              <w:t>Subventions reçues et participations</w:t>
            </w:r>
          </w:p>
        </w:tc>
        <w:tc>
          <w:tcPr>
            <w:tcW w:w="1418" w:type="dxa"/>
            <w:tcBorders>
              <w:left w:val="dotted" w:sz="4" w:space="0" w:color="000000"/>
              <w:bottom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left w:val="dotted" w:sz="4" w:space="0" w:color="000000"/>
              <w:bottom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left w:val="dotted" w:sz="4" w:space="0" w:color="000000"/>
              <w:bottom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59" w:type="dxa"/>
            <w:tcBorders>
              <w:left w:val="dotted" w:sz="4" w:space="0" w:color="000000"/>
              <w:bottom w:val="dotted" w:sz="4" w:space="0" w:color="000000"/>
              <w:right w:val="dotted" w:sz="4"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c>
          <w:tcPr>
            <w:tcW w:w="1560" w:type="dxa"/>
            <w:tcBorders>
              <w:left w:val="dotted" w:sz="4" w:space="0" w:color="000000"/>
              <w:bottom w:val="dotted" w:sz="4" w:space="0" w:color="000000"/>
              <w:right w:val="dotted" w:sz="6" w:space="0" w:color="000000"/>
            </w:tcBorders>
            <w:tcMar>
              <w:top w:w="28" w:type="dxa"/>
              <w:left w:w="57" w:type="dxa"/>
              <w:bottom w:w="28" w:type="dxa"/>
              <w:right w:w="57" w:type="dxa"/>
            </w:tcMar>
            <w:vAlign w:val="center"/>
          </w:tcPr>
          <w:p w:rsidR="002803FB" w:rsidRPr="00B549BD" w:rsidRDefault="002803FB" w:rsidP="002803FB">
            <w:pPr>
              <w:pStyle w:val="Aucunstyle"/>
              <w:spacing w:before="100" w:beforeAutospacing="1" w:after="100" w:afterAutospacing="1"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Subventions de fonctionnement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657363 et 657364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657363 et 657364 (6573641 en M57)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65733 et 65736 des BP (657363 et 6573641 en M57)</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7472 (M71, M43) et 747 (M49)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7472, 7473 (M71, M43) et 747 (M49)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Ventes de biens et services</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 frais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62872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70871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 frais </w:t>
            </w:r>
            <w:r w:rsidRPr="00B549BD">
              <w:rPr>
                <w:sz w:val="17"/>
                <w:szCs w:val="13"/>
              </w:rPr>
              <w:br/>
              <w:t>des BA aux BP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62871(M14) et 6287 (M14A et M4+)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(M14, M57) et 6287 (M14A et M4+)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70872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(M71, M57) et 6287 (M14A et M4+)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62871 (M71, M57) et 6287 (M14A et M4+)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Personnel facturé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70841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6215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Autres recettes de fonctionnement</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Remboursements d’intérêts aux BP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661133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661133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Prise en charge par le BP du déficit des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 xml:space="preserve">Débit net du 6521 </w:t>
            </w:r>
            <w:r w:rsidRPr="00B549BD">
              <w:rPr>
                <w:sz w:val="17"/>
                <w:szCs w:val="13"/>
              </w:rPr>
              <w:lastRenderedPageBreak/>
              <w:t>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lastRenderedPageBreak/>
              <w:t xml:space="preserve">Débit net du 6521 </w:t>
            </w:r>
            <w:r w:rsidRPr="00B549BD">
              <w:rPr>
                <w:sz w:val="17"/>
                <w:szCs w:val="13"/>
              </w:rPr>
              <w:lastRenderedPageBreak/>
              <w:t>(65821 en M57)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lastRenderedPageBreak/>
              <w:t xml:space="preserve">Débit net du 65821 </w:t>
            </w:r>
            <w:r w:rsidRPr="00B549BD">
              <w:rPr>
                <w:sz w:val="17"/>
                <w:szCs w:val="13"/>
              </w:rPr>
              <w:lastRenderedPageBreak/>
              <w:t>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lastRenderedPageBreak/>
              <w:t xml:space="preserve">Crédit net du 75822 </w:t>
            </w:r>
            <w:r w:rsidRPr="00B549BD">
              <w:rPr>
                <w:sz w:val="17"/>
                <w:szCs w:val="13"/>
              </w:rPr>
              <w:lastRenderedPageBreak/>
              <w:t>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lastRenderedPageBreak/>
              <w:t xml:space="preserve">Crédit net du 75822 </w:t>
            </w:r>
            <w:r w:rsidRPr="00B549BD">
              <w:rPr>
                <w:sz w:val="17"/>
                <w:szCs w:val="13"/>
              </w:rPr>
              <w:lastRenderedPageBreak/>
              <w:t>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lastRenderedPageBreak/>
              <w:t>Reversement au BP de l’excédent des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6522 (M14 et M14A) et 672 (M4+)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6522 (M14 et M14A), 65822 (M57) et 672 (M4+)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75821 et 75861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65822 (M71, M57) et 672 (M4+)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65822 (M71, M57) et 672 (M4+) des BA</w:t>
            </w:r>
          </w:p>
        </w:tc>
      </w:tr>
      <w:tr w:rsidR="002803FB" w:rsidRPr="00B549BD" w:rsidTr="002803FB">
        <w:trPr>
          <w:trHeight w:val="60"/>
        </w:trPr>
        <w:tc>
          <w:tcPr>
            <w:tcW w:w="2977" w:type="dxa"/>
            <w:tcBorders>
              <w:top w:val="dotted" w:sz="4" w:space="0" w:color="000000"/>
              <w:left w:val="single" w:sz="6" w:space="0" w:color="000000"/>
              <w:bottom w:val="single" w:sz="2"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Subventions exceptionnelles aux BA :</w:t>
            </w:r>
          </w:p>
        </w:tc>
        <w:tc>
          <w:tcPr>
            <w:tcW w:w="1418"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67441 des BP</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67441 (67431 en M57 avant 2018) des BP</w:t>
            </w:r>
          </w:p>
        </w:tc>
        <w:tc>
          <w:tcPr>
            <w:tcW w:w="1560"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net du 6743 des BP</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7748 (M71, M57) et 774 (M4+) des BA</w:t>
            </w:r>
          </w:p>
        </w:tc>
        <w:tc>
          <w:tcPr>
            <w:tcW w:w="1560" w:type="dxa"/>
            <w:tcBorders>
              <w:top w:val="dotted" w:sz="4" w:space="0" w:color="000000"/>
              <w:left w:val="dotted" w:sz="4" w:space="0" w:color="000000"/>
              <w:bottom w:val="single" w:sz="2"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net du 7748 (M71, M57) et 774 (M4+) des BA</w:t>
            </w:r>
          </w:p>
        </w:tc>
      </w:tr>
      <w:tr w:rsidR="002803FB" w:rsidRPr="00B549BD" w:rsidTr="002803FB">
        <w:trPr>
          <w:trHeight w:val="60"/>
        </w:trPr>
        <w:tc>
          <w:tcPr>
            <w:tcW w:w="2977" w:type="dxa"/>
            <w:tcBorders>
              <w:top w:val="single" w:sz="2"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bleu"/>
                <w:sz w:val="17"/>
                <w:szCs w:val="13"/>
              </w:rPr>
              <w:t xml:space="preserve">Dépenses d’investissement </w:t>
            </w:r>
            <w:r w:rsidRPr="00B549BD">
              <w:rPr>
                <w:rStyle w:val="Tableaugrasbleu"/>
                <w:sz w:val="17"/>
                <w:szCs w:val="13"/>
              </w:rPr>
              <w:br/>
              <w:t>hors remboursements</w:t>
            </w:r>
          </w:p>
        </w:tc>
        <w:tc>
          <w:tcPr>
            <w:tcW w:w="1418"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6"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Dépenses d’équipement</w:t>
            </w:r>
          </w:p>
        </w:tc>
        <w:tc>
          <w:tcPr>
            <w:tcW w:w="1418"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6"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6"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Subventions d’équipement versées</w:t>
            </w:r>
          </w:p>
        </w:tc>
        <w:tc>
          <w:tcPr>
            <w:tcW w:w="1418"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6"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Subventions d’investissement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204163 et 204164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204163 et 204164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1313, 1323 et 1383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1312, 1322 et 1382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1312, 1322, 1382 et 1313, 1323 et 1383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Autres dépenses d’investissement</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single" w:sz="2"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Emprunts des BA aux BP :</w:t>
            </w:r>
          </w:p>
        </w:tc>
        <w:tc>
          <w:tcPr>
            <w:tcW w:w="1418"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168741 et 168748 des BA</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168751 et 168758 des BA</w:t>
            </w:r>
          </w:p>
        </w:tc>
        <w:tc>
          <w:tcPr>
            <w:tcW w:w="1560"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single" w:sz="2"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r w:rsidR="002803FB" w:rsidRPr="00B549BD" w:rsidTr="002803FB">
        <w:trPr>
          <w:trHeight w:val="60"/>
        </w:trPr>
        <w:tc>
          <w:tcPr>
            <w:tcW w:w="2977" w:type="dxa"/>
            <w:tcBorders>
              <w:top w:val="single" w:sz="2"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bleu"/>
                <w:sz w:val="17"/>
                <w:szCs w:val="13"/>
              </w:rPr>
              <w:t xml:space="preserve">Recettes d’investissement </w:t>
            </w:r>
            <w:r w:rsidRPr="00B549BD">
              <w:rPr>
                <w:rStyle w:val="Tableaugrasbleu"/>
                <w:sz w:val="17"/>
                <w:szCs w:val="13"/>
              </w:rPr>
              <w:br/>
              <w:t>hors emprunts</w:t>
            </w:r>
          </w:p>
        </w:tc>
        <w:tc>
          <w:tcPr>
            <w:tcW w:w="1418"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6"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FCTVA</w:t>
            </w:r>
          </w:p>
        </w:tc>
        <w:tc>
          <w:tcPr>
            <w:tcW w:w="1418"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6"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6"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6"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Autres dotations et subventions d’équipement</w:t>
            </w:r>
          </w:p>
        </w:tc>
        <w:tc>
          <w:tcPr>
            <w:tcW w:w="1418"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6"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6"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Subventions d’investissement </w:t>
            </w:r>
            <w:r w:rsidRPr="00B549BD">
              <w:rPr>
                <w:sz w:val="17"/>
                <w:szCs w:val="13"/>
              </w:rPr>
              <w:br/>
              <w:t>des BP aux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204163 et 204164 des BP</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204163 et 204164 des BP</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1313, 1323 et 1383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1312, 1322 et 1382 des BA</w:t>
            </w: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1312, 1322, 1382 et 1313, 1323 et 1383 des BA</w:t>
            </w: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
                <w:sz w:val="17"/>
                <w:szCs w:val="13"/>
              </w:rPr>
              <w:t>Autres recettes d’investissement</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single" w:sz="2"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des emprunts </w:t>
            </w:r>
            <w:r w:rsidRPr="00B549BD">
              <w:rPr>
                <w:sz w:val="17"/>
                <w:szCs w:val="13"/>
              </w:rPr>
              <w:br/>
              <w:t>par les BA :</w:t>
            </w:r>
          </w:p>
        </w:tc>
        <w:tc>
          <w:tcPr>
            <w:tcW w:w="1418"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168741 et 168748 des BA</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168751 et 168758 des BA</w:t>
            </w:r>
          </w:p>
        </w:tc>
        <w:tc>
          <w:tcPr>
            <w:tcW w:w="1560"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single" w:sz="2"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r w:rsidR="002803FB" w:rsidRPr="00B549BD" w:rsidTr="002803FB">
        <w:trPr>
          <w:trHeight w:val="60"/>
        </w:trPr>
        <w:tc>
          <w:tcPr>
            <w:tcW w:w="2977" w:type="dxa"/>
            <w:tcBorders>
              <w:top w:val="single" w:sz="2"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bleu"/>
                <w:sz w:val="17"/>
                <w:szCs w:val="13"/>
              </w:rPr>
              <w:t>Remboursements de dette</w:t>
            </w:r>
          </w:p>
        </w:tc>
        <w:tc>
          <w:tcPr>
            <w:tcW w:w="1418"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single" w:sz="2"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single" w:sz="2"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 xml:space="preserve">Remboursements des emprunts </w:t>
            </w:r>
            <w:r w:rsidRPr="00B549BD">
              <w:rPr>
                <w:sz w:val="17"/>
                <w:szCs w:val="13"/>
              </w:rPr>
              <w:br/>
              <w:t>par les BA :</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168741 et 168748 des BA</w:t>
            </w: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Débit du 168751 et 168758 des BA</w:t>
            </w: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r w:rsidR="002803FB" w:rsidRPr="00B549BD" w:rsidTr="002803FB">
        <w:trPr>
          <w:trHeight w:val="60"/>
        </w:trPr>
        <w:tc>
          <w:tcPr>
            <w:tcW w:w="2977" w:type="dxa"/>
            <w:tcBorders>
              <w:top w:val="dotted" w:sz="4" w:space="0" w:color="000000"/>
              <w:left w:val="single" w:sz="6" w:space="0" w:color="000000"/>
              <w:bottom w:val="dotted" w:sz="4"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line="240" w:lineRule="auto"/>
              <w:rPr>
                <w:sz w:val="17"/>
              </w:rPr>
            </w:pPr>
            <w:r w:rsidRPr="00B549BD">
              <w:rPr>
                <w:rStyle w:val="Tableaugrasbleu"/>
                <w:sz w:val="17"/>
                <w:szCs w:val="13"/>
              </w:rPr>
              <w:t>Emprunts</w:t>
            </w:r>
          </w:p>
        </w:tc>
        <w:tc>
          <w:tcPr>
            <w:tcW w:w="1418"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59" w:type="dxa"/>
            <w:tcBorders>
              <w:top w:val="dotted" w:sz="4" w:space="0" w:color="000000"/>
              <w:left w:val="dotted" w:sz="4" w:space="0" w:color="000000"/>
              <w:bottom w:val="dotted" w:sz="4"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c>
          <w:tcPr>
            <w:tcW w:w="1560" w:type="dxa"/>
            <w:tcBorders>
              <w:top w:val="dotted" w:sz="4" w:space="0" w:color="000000"/>
              <w:left w:val="dotted" w:sz="4" w:space="0" w:color="000000"/>
              <w:bottom w:val="dotted" w:sz="4"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pacing w:line="240" w:lineRule="auto"/>
              <w:jc w:val="left"/>
              <w:textAlignment w:val="auto"/>
              <w:rPr>
                <w:rFonts w:ascii="StoneSerif" w:hAnsi="StoneSerif" w:cs="Times New Roman"/>
                <w:color w:val="auto"/>
                <w:sz w:val="17"/>
                <w:szCs w:val="18"/>
                <w:lang w:bidi="ar-SA"/>
              </w:rPr>
            </w:pPr>
          </w:p>
        </w:tc>
      </w:tr>
      <w:tr w:rsidR="002803FB" w:rsidRPr="00B549BD" w:rsidTr="002803FB">
        <w:trPr>
          <w:trHeight w:val="60"/>
        </w:trPr>
        <w:tc>
          <w:tcPr>
            <w:tcW w:w="2977" w:type="dxa"/>
            <w:tcBorders>
              <w:top w:val="dotted" w:sz="4" w:space="0" w:color="000000"/>
              <w:left w:val="single" w:sz="6" w:space="0" w:color="000000"/>
              <w:bottom w:val="single" w:sz="2" w:space="0" w:color="000000"/>
              <w:right w:val="dotted" w:sz="4" w:space="0" w:color="000000"/>
            </w:tcBorders>
            <w:tcMar>
              <w:top w:w="28" w:type="dxa"/>
              <w:left w:w="0" w:type="dxa"/>
              <w:bottom w:w="28" w:type="dxa"/>
              <w:right w:w="57" w:type="dxa"/>
            </w:tcMar>
          </w:tcPr>
          <w:p w:rsidR="002803FB" w:rsidRPr="00B549BD" w:rsidRDefault="002803FB" w:rsidP="002803FB">
            <w:pPr>
              <w:pStyle w:val="12bAnntab"/>
              <w:spacing w:before="20" w:line="240" w:lineRule="auto"/>
              <w:rPr>
                <w:sz w:val="17"/>
              </w:rPr>
            </w:pPr>
            <w:r w:rsidRPr="00B549BD">
              <w:rPr>
                <w:sz w:val="17"/>
                <w:szCs w:val="13"/>
              </w:rPr>
              <w:t>Emprunts des BA aux BP :</w:t>
            </w:r>
          </w:p>
        </w:tc>
        <w:tc>
          <w:tcPr>
            <w:tcW w:w="1418"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168741 et 168748 des BA</w:t>
            </w: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12bAnntab"/>
              <w:spacing w:before="20" w:line="240" w:lineRule="auto"/>
              <w:jc w:val="center"/>
              <w:rPr>
                <w:sz w:val="17"/>
              </w:rPr>
            </w:pPr>
            <w:r w:rsidRPr="00B549BD">
              <w:rPr>
                <w:sz w:val="17"/>
                <w:szCs w:val="13"/>
              </w:rPr>
              <w:t>Crédit du 168751 et 168758 des BA</w:t>
            </w:r>
          </w:p>
        </w:tc>
        <w:tc>
          <w:tcPr>
            <w:tcW w:w="1560"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59" w:type="dxa"/>
            <w:tcBorders>
              <w:top w:val="dotted" w:sz="4" w:space="0" w:color="000000"/>
              <w:left w:val="dotted" w:sz="4" w:space="0" w:color="000000"/>
              <w:bottom w:val="single" w:sz="2" w:space="0" w:color="000000"/>
              <w:right w:val="dotted" w:sz="4"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c>
          <w:tcPr>
            <w:tcW w:w="1560" w:type="dxa"/>
            <w:tcBorders>
              <w:top w:val="dotted" w:sz="4" w:space="0" w:color="000000"/>
              <w:left w:val="dotted" w:sz="4" w:space="0" w:color="000000"/>
              <w:bottom w:val="single" w:sz="2" w:space="0" w:color="000000"/>
              <w:right w:val="dotted" w:sz="6" w:space="0" w:color="000000"/>
            </w:tcBorders>
            <w:tcMar>
              <w:top w:w="28" w:type="dxa"/>
              <w:left w:w="57" w:type="dxa"/>
              <w:bottom w:w="28" w:type="dxa"/>
              <w:right w:w="57" w:type="dxa"/>
            </w:tcMar>
          </w:tcPr>
          <w:p w:rsidR="002803FB" w:rsidRPr="00B549BD" w:rsidRDefault="002803FB" w:rsidP="002803FB">
            <w:pPr>
              <w:pStyle w:val="Aucunstyle"/>
              <w:suppressAutoHyphens/>
              <w:spacing w:before="20" w:line="240" w:lineRule="auto"/>
              <w:jc w:val="left"/>
              <w:rPr>
                <w:rFonts w:ascii="StoneSerif" w:hAnsi="StoneSerif" w:cs="Times New Roman"/>
                <w:color w:val="auto"/>
                <w:sz w:val="17"/>
                <w:lang w:bidi="ar-SA"/>
              </w:rPr>
            </w:pPr>
          </w:p>
        </w:tc>
      </w:tr>
    </w:tbl>
    <w:p w:rsidR="002803FB" w:rsidRPr="009A6233" w:rsidRDefault="002803FB" w:rsidP="002803FB">
      <w:pPr>
        <w:pStyle w:val="14Notestabann"/>
        <w:rPr>
          <w:spacing w:val="0"/>
          <w:sz w:val="19"/>
        </w:rPr>
      </w:pPr>
      <w:r w:rsidRPr="009A6233">
        <w:rPr>
          <w:spacing w:val="0"/>
          <w:sz w:val="19"/>
        </w:rPr>
        <w:t>Lecture : les achats et charges externes des communes sont égaux à la somme des achats et charges externes des BP et des BA, de laquelle on soustrait les remboursements de frais entre BP et BA. Les remboursements de frais des BP vers les BA sont estimés par le crédit net du compte 70871 des BA</w:t>
      </w:r>
      <w:r w:rsidRPr="009A6233">
        <w:rPr>
          <w:rFonts w:ascii="Adobe Arabic" w:hAnsi="Adobe Arabic" w:cs="Adobe Arabic"/>
          <w:spacing w:val="0"/>
          <w:sz w:val="19"/>
        </w:rPr>
        <w:t> </w:t>
      </w:r>
      <w:r w:rsidRPr="009A6233">
        <w:rPr>
          <w:spacing w:val="0"/>
          <w:sz w:val="19"/>
        </w:rPr>
        <w:t>; les remboursements de frais des BA vers les BP sont estimés par le débit net des comptes 62871 des BA en M14, 6287 des BA en M14A et M4, M41, M42, M43, M49, M22. Ces remboursements de frais versés respectivement par le BP et par le BA se retrouvent par symétrie en recette du BA et du BP, et ils sont donc soustraits aussi du montant des «</w:t>
      </w:r>
      <w:r w:rsidRPr="009A6233">
        <w:rPr>
          <w:rFonts w:ascii="Adobe Arabic" w:hAnsi="Adobe Arabic" w:cs="Adobe Arabic"/>
          <w:spacing w:val="0"/>
          <w:sz w:val="19"/>
        </w:rPr>
        <w:t> </w:t>
      </w:r>
      <w:r w:rsidRPr="009A6233">
        <w:rPr>
          <w:spacing w:val="0"/>
          <w:sz w:val="19"/>
        </w:rPr>
        <w:t>ventes de biens et services</w:t>
      </w:r>
      <w:r w:rsidRPr="009A6233">
        <w:rPr>
          <w:rFonts w:ascii="Adobe Arabic" w:hAnsi="Adobe Arabic" w:cs="Adobe Arabic"/>
          <w:spacing w:val="0"/>
          <w:sz w:val="19"/>
        </w:rPr>
        <w:t> </w:t>
      </w:r>
      <w:r w:rsidRPr="009A6233">
        <w:rPr>
          <w:spacing w:val="0"/>
          <w:sz w:val="19"/>
        </w:rPr>
        <w:t xml:space="preserve">» des communes. </w:t>
      </w:r>
    </w:p>
    <w:p w:rsidR="002803FB" w:rsidRPr="009A6233" w:rsidRDefault="002803FB" w:rsidP="002803FB">
      <w:pPr>
        <w:pStyle w:val="17Texteann"/>
        <w:rPr>
          <w:sz w:val="23"/>
        </w:rPr>
      </w:pPr>
    </w:p>
    <w:p w:rsidR="002803FB" w:rsidRPr="002803FB" w:rsidRDefault="002803FB" w:rsidP="002803FB">
      <w:pPr>
        <w:pStyle w:val="17Texteann"/>
        <w:spacing w:line="276" w:lineRule="auto"/>
        <w:rPr>
          <w:rFonts w:asciiTheme="minorHAnsi" w:hAnsiTheme="minorHAnsi" w:cstheme="minorHAnsi"/>
          <w:sz w:val="22"/>
          <w:szCs w:val="22"/>
        </w:rPr>
      </w:pPr>
      <w:r w:rsidRPr="002803FB">
        <w:rPr>
          <w:rFonts w:asciiTheme="minorHAnsi" w:hAnsiTheme="minorHAnsi" w:cstheme="minorHAnsi"/>
          <w:sz w:val="22"/>
          <w:szCs w:val="22"/>
        </w:rPr>
        <w:t>Les montants soustraits étant identiques en recettes et en dépenses, la consolidation est neutre sur l’épargne brute et sur la variation du fonds de roulement. Les flux croisés sont donc nuls sur ces lignes dans les tableaux des résultats. Les différences entre l’épargne brute avant et après consolidation, et entre variations du fonds de roulement avant et après consolidation, ne proviennent que de l’ajout des budgets annexes.</w:t>
      </w:r>
    </w:p>
    <w:p w:rsidR="002803FB" w:rsidRDefault="002803FB">
      <w:pPr>
        <w:rPr>
          <w:b/>
        </w:rPr>
      </w:pPr>
      <w:r>
        <w:rPr>
          <w:b/>
        </w:rPr>
        <w:br w:type="page"/>
      </w:r>
    </w:p>
    <w:p w:rsidR="00F77389" w:rsidRDefault="00F77389" w:rsidP="00F77389">
      <w:pPr>
        <w:spacing w:after="0" w:line="240" w:lineRule="auto"/>
        <w:jc w:val="center"/>
        <w:rPr>
          <w:b/>
        </w:rPr>
      </w:pPr>
      <w:r>
        <w:rPr>
          <w:b/>
        </w:rPr>
        <w:lastRenderedPageBreak/>
        <w:t xml:space="preserve">Annexe 6a - Consolidation entre </w:t>
      </w:r>
      <w:r w:rsidRPr="00F77389">
        <w:rPr>
          <w:b/>
        </w:rPr>
        <w:t>personnes morales distinctes</w:t>
      </w:r>
      <w:r>
        <w:rPr>
          <w:b/>
        </w:rPr>
        <w:t xml:space="preserve"> : </w:t>
      </w:r>
    </w:p>
    <w:p w:rsidR="00F77389" w:rsidRDefault="00F77389" w:rsidP="00F77389">
      <w:pPr>
        <w:jc w:val="center"/>
        <w:rPr>
          <w:b/>
        </w:rPr>
      </w:pPr>
      <w:proofErr w:type="gramStart"/>
      <w:r w:rsidRPr="00F77389">
        <w:rPr>
          <w:b/>
        </w:rPr>
        <w:t>communes</w:t>
      </w:r>
      <w:proofErr w:type="gramEnd"/>
      <w:r w:rsidRPr="00F77389">
        <w:rPr>
          <w:b/>
        </w:rPr>
        <w:t xml:space="preserve"> et groupements à fiscalité propre (GFP) (bloc communal)</w:t>
      </w:r>
    </w:p>
    <w:p w:rsidR="00F77389" w:rsidRPr="0016115C" w:rsidRDefault="00F77389" w:rsidP="00F77389">
      <w:pPr>
        <w:pStyle w:val="14Notestabann"/>
        <w:suppressAutoHyphens/>
        <w:rPr>
          <w:spacing w:val="0"/>
          <w:sz w:val="16"/>
          <w:szCs w:val="12"/>
        </w:rPr>
      </w:pPr>
      <w:r w:rsidRPr="0016115C">
        <w:rPr>
          <w:spacing w:val="0"/>
          <w:sz w:val="16"/>
          <w:szCs w:val="12"/>
        </w:rPr>
        <w:t xml:space="preserve">Lecture : les achats et charges externes consolidés des collectivités du bloc communal sont égaux à la somme des achats et charges externes des budgets principaux et annexes des communes et des GFP (moins les flux BP-BA neutralisés), de laquelle on soustrait les remboursements de frais entre communes et GFP. Les remboursements de frais des communes aux GFP sont estimés par le crédit net du compte 70875 des GFP ; les remboursements de frais des GFP vers les communes sont estimés par le débit net du compte 62875 des GFP. Ces remboursements de frais versés respectivement par les communes et les GFP se retrouvent par symétrie en recette des GFP et des communes, et ils sont donc soustraits aussi du montant des « ventes de biens et services » des collectivités du bloc communal. </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bleu"/>
          <w:rFonts w:asciiTheme="majorHAnsi" w:hAnsiTheme="majorHAnsi"/>
          <w:b/>
          <w:sz w:val="18"/>
          <w:szCs w:val="16"/>
        </w:rPr>
        <w:t xml:space="preserve">Dépenses de fonctionnement </w:t>
      </w:r>
      <w:r w:rsidRPr="0016115C">
        <w:rPr>
          <w:rFonts w:asciiTheme="majorHAnsi" w:hAnsiTheme="majorHAnsi" w:cs="StoneSans"/>
          <w:b/>
          <w:spacing w:val="-1"/>
          <w:w w:val="95"/>
          <w:sz w:val="18"/>
          <w:szCs w:val="16"/>
          <w:lang w:bidi="ar-SA"/>
        </w:rPr>
        <w:tab/>
        <w:t>Comptes qui  estiment les flux à neutraliser :</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Achats et charges externes</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 frais des communes aux GFP :</w:t>
      </w:r>
      <w:r w:rsidRPr="0016115C">
        <w:rPr>
          <w:rFonts w:asciiTheme="majorHAnsi" w:hAnsiTheme="majorHAnsi"/>
          <w:sz w:val="18"/>
          <w:szCs w:val="16"/>
        </w:rPr>
        <w:tab/>
        <w:t>Crédit net du 70875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 frais des GFP aux communes :</w:t>
      </w:r>
      <w:r w:rsidRPr="0016115C">
        <w:rPr>
          <w:rFonts w:asciiTheme="majorHAnsi" w:hAnsiTheme="majorHAnsi"/>
          <w:sz w:val="18"/>
          <w:szCs w:val="16"/>
        </w:rPr>
        <w:tab/>
        <w:t>Débit net du 62875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Frais de personnel</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Personnel facturé aux communes :</w:t>
      </w:r>
      <w:r w:rsidRPr="0016115C">
        <w:rPr>
          <w:rFonts w:asciiTheme="majorHAnsi" w:hAnsiTheme="majorHAnsi"/>
          <w:sz w:val="18"/>
          <w:szCs w:val="16"/>
        </w:rPr>
        <w:tab/>
        <w:t>Crédit net du 70845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Personnel facturé aux GFP :</w:t>
      </w:r>
      <w:r w:rsidRPr="0016115C">
        <w:rPr>
          <w:rFonts w:asciiTheme="majorHAnsi" w:hAnsiTheme="majorHAnsi"/>
          <w:sz w:val="18"/>
          <w:szCs w:val="16"/>
        </w:rPr>
        <w:tab/>
        <w:t>Débit net du 6217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Charges financières</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d’intérêts aux GFP :</w:t>
      </w:r>
      <w:r w:rsidRPr="0016115C">
        <w:rPr>
          <w:rFonts w:asciiTheme="majorHAnsi" w:hAnsiTheme="majorHAnsi"/>
          <w:sz w:val="18"/>
          <w:szCs w:val="16"/>
        </w:rPr>
        <w:tab/>
        <w:t>Crédit net du 76231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d’intérêts aux communes :</w:t>
      </w:r>
      <w:r w:rsidRPr="0016115C">
        <w:rPr>
          <w:rFonts w:asciiTheme="majorHAnsi" w:hAnsiTheme="majorHAnsi"/>
          <w:sz w:val="18"/>
          <w:szCs w:val="16"/>
        </w:rPr>
        <w:tab/>
        <w:t>Débit net du 661131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Dépenses d’intervention</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de fonctionnement des communes aux GFP :</w:t>
      </w:r>
      <w:r w:rsidRPr="0016115C">
        <w:rPr>
          <w:rFonts w:asciiTheme="majorHAnsi" w:hAnsiTheme="majorHAnsi"/>
          <w:sz w:val="18"/>
          <w:szCs w:val="16"/>
        </w:rPr>
        <w:tab/>
        <w:t>Crédit net du 74741 et 74748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de fonctionnement des GFP aux communes :</w:t>
      </w:r>
      <w:r w:rsidRPr="0016115C">
        <w:rPr>
          <w:rFonts w:asciiTheme="majorHAnsi" w:hAnsiTheme="majorHAnsi"/>
          <w:sz w:val="18"/>
          <w:szCs w:val="16"/>
        </w:rPr>
        <w:tab/>
        <w:t>Débit net du 657341 et 657348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Autres dépenses de fonctionnement</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bleu"/>
          <w:rFonts w:asciiTheme="majorHAnsi" w:hAnsiTheme="majorHAnsi"/>
          <w:b/>
          <w:sz w:val="18"/>
          <w:szCs w:val="16"/>
        </w:rPr>
        <w:t>Recettes de fonctionnement</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Impôts et taxes</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Concours de l’État</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Subventions reçues et participations</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de fonctionnement des communes aux GFP :</w:t>
      </w:r>
      <w:r w:rsidRPr="0016115C">
        <w:rPr>
          <w:rFonts w:asciiTheme="majorHAnsi" w:hAnsiTheme="majorHAnsi"/>
          <w:sz w:val="18"/>
          <w:szCs w:val="16"/>
        </w:rPr>
        <w:tab/>
        <w:t>Crédit net du 74741 et 74748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de fonctionnement des GFP aux communes :</w:t>
      </w:r>
      <w:r w:rsidRPr="0016115C">
        <w:rPr>
          <w:rFonts w:asciiTheme="majorHAnsi" w:hAnsiTheme="majorHAnsi"/>
          <w:sz w:val="18"/>
          <w:szCs w:val="16"/>
        </w:rPr>
        <w:tab/>
        <w:t>Débit net du 657341 et 657348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Ventes de biens et services</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 frais des communes aux GFP :</w:t>
      </w:r>
      <w:r w:rsidRPr="0016115C">
        <w:rPr>
          <w:rFonts w:asciiTheme="majorHAnsi" w:hAnsiTheme="majorHAnsi"/>
          <w:sz w:val="18"/>
          <w:szCs w:val="16"/>
        </w:rPr>
        <w:tab/>
        <w:t>Crédit net du 70875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 frais des GFP aux communes :</w:t>
      </w:r>
      <w:r w:rsidRPr="0016115C">
        <w:rPr>
          <w:rFonts w:asciiTheme="majorHAnsi" w:hAnsiTheme="majorHAnsi"/>
          <w:sz w:val="18"/>
          <w:szCs w:val="16"/>
        </w:rPr>
        <w:tab/>
        <w:t>Débit net du 62875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Personnel facturé aux communes :</w:t>
      </w:r>
      <w:r w:rsidRPr="0016115C">
        <w:rPr>
          <w:rFonts w:asciiTheme="majorHAnsi" w:hAnsiTheme="majorHAnsi"/>
          <w:sz w:val="18"/>
          <w:szCs w:val="16"/>
        </w:rPr>
        <w:tab/>
        <w:t>Crédit net du 70845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Personnel facturé aux GFP :</w:t>
      </w:r>
      <w:r w:rsidRPr="0016115C">
        <w:rPr>
          <w:rFonts w:asciiTheme="majorHAnsi" w:hAnsiTheme="majorHAnsi"/>
          <w:sz w:val="18"/>
          <w:szCs w:val="16"/>
        </w:rPr>
        <w:tab/>
        <w:t>Débit net du 6217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Autres recettes de fonctionnement</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d’intérêts aux GFP :</w:t>
      </w:r>
      <w:r w:rsidRPr="0016115C">
        <w:rPr>
          <w:rFonts w:asciiTheme="majorHAnsi" w:hAnsiTheme="majorHAnsi"/>
          <w:sz w:val="18"/>
          <w:szCs w:val="16"/>
        </w:rPr>
        <w:tab/>
        <w:t>Crédit net du 76231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d’intérêts aux communes :</w:t>
      </w:r>
      <w:r w:rsidRPr="0016115C">
        <w:rPr>
          <w:rFonts w:asciiTheme="majorHAnsi" w:hAnsiTheme="majorHAnsi"/>
          <w:sz w:val="18"/>
          <w:szCs w:val="16"/>
        </w:rPr>
        <w:tab/>
        <w:t>Débit net du 661131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bleu"/>
          <w:rFonts w:asciiTheme="majorHAnsi" w:hAnsiTheme="majorHAnsi"/>
          <w:b/>
          <w:sz w:val="18"/>
          <w:szCs w:val="16"/>
        </w:rPr>
        <w:t>Dépenses d’investissement hors remboursements</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Dépenses d’équipement</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Subventions d’équipement versées</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d’investissement des communes aux GFP :</w:t>
      </w:r>
      <w:r w:rsidRPr="0016115C">
        <w:rPr>
          <w:rFonts w:asciiTheme="majorHAnsi" w:hAnsiTheme="majorHAnsi"/>
          <w:sz w:val="18"/>
          <w:szCs w:val="16"/>
        </w:rPr>
        <w:tab/>
        <w:t>Crédit du 13141, 13241, 13148 et 13248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d’investissement des GFP aux communes :</w:t>
      </w:r>
      <w:r w:rsidRPr="0016115C">
        <w:rPr>
          <w:rFonts w:asciiTheme="majorHAnsi" w:hAnsiTheme="majorHAnsi"/>
          <w:sz w:val="18"/>
          <w:szCs w:val="16"/>
        </w:rPr>
        <w:tab/>
        <w:t>Débit du 204141 et 204148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Autres dépenses d’investissement</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bleu"/>
          <w:rFonts w:asciiTheme="majorHAnsi" w:hAnsiTheme="majorHAnsi"/>
          <w:b/>
          <w:sz w:val="18"/>
          <w:szCs w:val="16"/>
        </w:rPr>
        <w:t xml:space="preserve">Recettes d’investissement hors emprunts </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FCTVA</w:t>
      </w:r>
      <w:r w:rsidRPr="0016115C">
        <w:rPr>
          <w:rFonts w:asciiTheme="majorHAnsi" w:hAnsiTheme="majorHAnsi" w:cs="StoneSans"/>
          <w:b/>
          <w:spacing w:val="-1"/>
          <w:w w:val="95"/>
          <w:sz w:val="18"/>
          <w:szCs w:val="16"/>
          <w:lang w:bidi="ar-SA"/>
        </w:rPr>
        <w:tab/>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 xml:space="preserve">Autres dotations et </w:t>
      </w:r>
      <w:r>
        <w:rPr>
          <w:rStyle w:val="Tableaugras"/>
          <w:rFonts w:asciiTheme="majorHAnsi" w:hAnsiTheme="majorHAnsi"/>
          <w:b/>
          <w:sz w:val="18"/>
          <w:szCs w:val="16"/>
        </w:rPr>
        <w:t>s</w:t>
      </w:r>
      <w:r w:rsidRPr="0016115C">
        <w:rPr>
          <w:rStyle w:val="Tableaugras"/>
          <w:rFonts w:asciiTheme="majorHAnsi" w:hAnsiTheme="majorHAnsi"/>
          <w:b/>
          <w:sz w:val="18"/>
          <w:szCs w:val="16"/>
        </w:rPr>
        <w:t>ubventions d’équipement</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d’investissement des communes aux GFP :</w:t>
      </w:r>
      <w:r w:rsidRPr="0016115C">
        <w:rPr>
          <w:rFonts w:asciiTheme="majorHAnsi" w:hAnsiTheme="majorHAnsi"/>
          <w:sz w:val="18"/>
          <w:szCs w:val="16"/>
        </w:rPr>
        <w:tab/>
        <w:t>Crédit du 13141, 13241, 13148 et 13248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Subventions d’investissement des GFP aux communes :</w:t>
      </w:r>
      <w:r w:rsidRPr="0016115C">
        <w:rPr>
          <w:rFonts w:asciiTheme="majorHAnsi" w:hAnsiTheme="majorHAnsi"/>
          <w:sz w:val="18"/>
          <w:szCs w:val="16"/>
        </w:rPr>
        <w:tab/>
        <w:t>Débit du 204141 et 204148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
          <w:rFonts w:asciiTheme="majorHAnsi" w:hAnsiTheme="majorHAnsi"/>
          <w:b/>
          <w:sz w:val="18"/>
          <w:szCs w:val="16"/>
        </w:rPr>
        <w:t>Autres recettes d’investissement</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d’emprunts par les GFP aux communes :</w:t>
      </w:r>
      <w:r w:rsidRPr="0016115C">
        <w:rPr>
          <w:rFonts w:asciiTheme="majorHAnsi" w:hAnsiTheme="majorHAnsi"/>
          <w:sz w:val="18"/>
          <w:szCs w:val="16"/>
        </w:rPr>
        <w:tab/>
        <w:t>Crédit du 276341 et 276348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d’emprunts par les communes aux GFP :</w:t>
      </w:r>
      <w:r w:rsidRPr="0016115C">
        <w:rPr>
          <w:rFonts w:asciiTheme="majorHAnsi" w:hAnsiTheme="majorHAnsi"/>
          <w:sz w:val="18"/>
          <w:szCs w:val="16"/>
        </w:rPr>
        <w:tab/>
        <w:t>Débit du 168741 et 168748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rFonts w:asciiTheme="majorHAnsi" w:hAnsiTheme="majorHAnsi" w:cs="Times New Roman"/>
          <w:b/>
          <w:color w:val="auto"/>
          <w:sz w:val="18"/>
          <w:szCs w:val="16"/>
          <w:lang w:bidi="ar-SA"/>
        </w:rPr>
      </w:pPr>
      <w:r w:rsidRPr="0016115C">
        <w:rPr>
          <w:rStyle w:val="Tableaugrasbleu"/>
          <w:rFonts w:asciiTheme="majorHAnsi" w:hAnsiTheme="majorHAnsi"/>
          <w:b/>
          <w:sz w:val="18"/>
          <w:szCs w:val="16"/>
        </w:rPr>
        <w:t>Remboursements de dette</w:t>
      </w:r>
      <w:r w:rsidRPr="0016115C">
        <w:rPr>
          <w:rFonts w:asciiTheme="majorHAnsi" w:hAnsiTheme="majorHAnsi" w:cs="StoneSans"/>
          <w:b/>
          <w:spacing w:val="-1"/>
          <w:w w:val="95"/>
          <w:sz w:val="18"/>
          <w:szCs w:val="16"/>
          <w:lang w:bidi="ar-SA"/>
        </w:rPr>
        <w:tab/>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d’emprunts par les GFP aux communes :</w:t>
      </w:r>
      <w:r w:rsidRPr="0016115C">
        <w:rPr>
          <w:rFonts w:asciiTheme="majorHAnsi" w:hAnsiTheme="majorHAnsi"/>
          <w:sz w:val="18"/>
          <w:szCs w:val="16"/>
        </w:rPr>
        <w:tab/>
        <w:t>Crédit du 276341 et 276348 des GFP</w:t>
      </w:r>
    </w:p>
    <w:p w:rsidR="00F77389" w:rsidRPr="0016115C" w:rsidRDefault="00F77389" w:rsidP="00F77389">
      <w:pPr>
        <w:pStyle w:val="12bAnntab"/>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before="0" w:line="240" w:lineRule="auto"/>
        <w:contextualSpacing/>
        <w:rPr>
          <w:rFonts w:asciiTheme="majorHAnsi" w:hAnsiTheme="majorHAnsi"/>
          <w:sz w:val="18"/>
          <w:szCs w:val="16"/>
        </w:rPr>
      </w:pPr>
      <w:r w:rsidRPr="0016115C">
        <w:rPr>
          <w:rFonts w:asciiTheme="majorHAnsi" w:hAnsiTheme="majorHAnsi"/>
          <w:sz w:val="18"/>
          <w:szCs w:val="16"/>
        </w:rPr>
        <w:t>Remboursements d’emprunts par les communes aux GFP :</w:t>
      </w:r>
      <w:r w:rsidRPr="0016115C">
        <w:rPr>
          <w:rFonts w:asciiTheme="majorHAnsi" w:hAnsiTheme="majorHAnsi"/>
          <w:sz w:val="18"/>
          <w:szCs w:val="16"/>
        </w:rPr>
        <w:tab/>
        <w:t>Débit du 168741 et 168748 des GFP</w:t>
      </w:r>
    </w:p>
    <w:p w:rsidR="00F77389" w:rsidRPr="0016115C" w:rsidRDefault="00F77389" w:rsidP="00F77389">
      <w:pPr>
        <w:pStyle w:val="Aucunstyle"/>
        <w:pBdr>
          <w:top w:val="single" w:sz="4" w:space="1" w:color="000000"/>
          <w:left w:val="single" w:sz="4" w:space="4" w:color="000000"/>
          <w:bottom w:val="single" w:sz="4" w:space="1" w:color="000000"/>
          <w:right w:val="single" w:sz="4" w:space="4" w:color="000000"/>
          <w:between w:val="single" w:sz="4" w:space="1" w:color="000000"/>
          <w:bar w:val="single" w:sz="4" w:color="000000"/>
        </w:pBdr>
        <w:tabs>
          <w:tab w:val="left" w:pos="5103"/>
        </w:tabs>
        <w:spacing w:line="240" w:lineRule="auto"/>
        <w:contextualSpacing/>
        <w:jc w:val="left"/>
        <w:textAlignment w:val="auto"/>
        <w:rPr>
          <w:sz w:val="18"/>
          <w:szCs w:val="12"/>
        </w:rPr>
      </w:pPr>
      <w:r w:rsidRPr="0016115C">
        <w:rPr>
          <w:rStyle w:val="Tableaugrasbleu"/>
          <w:rFonts w:asciiTheme="majorHAnsi" w:hAnsiTheme="majorHAnsi"/>
          <w:b/>
          <w:sz w:val="18"/>
        </w:rPr>
        <w:t>Emprunts</w:t>
      </w:r>
    </w:p>
    <w:p w:rsidR="00F77389" w:rsidRDefault="00F77389" w:rsidP="00F77389">
      <w:pPr>
        <w:pStyle w:val="01Textecourant"/>
        <w:suppressAutoHyphens/>
        <w:rPr>
          <w:sz w:val="30"/>
        </w:rPr>
        <w:sectPr w:rsidR="00F77389" w:rsidSect="00F77389">
          <w:pgSz w:w="11906" w:h="16838"/>
          <w:pgMar w:top="1417" w:right="1417" w:bottom="1417" w:left="1417" w:header="708" w:footer="708" w:gutter="0"/>
          <w:cols w:space="708"/>
          <w:docGrid w:linePitch="360"/>
        </w:sectPr>
      </w:pPr>
    </w:p>
    <w:p w:rsidR="00F77389" w:rsidRDefault="00F77389" w:rsidP="00F77389">
      <w:pPr>
        <w:spacing w:after="0" w:line="240" w:lineRule="auto"/>
        <w:jc w:val="center"/>
        <w:rPr>
          <w:b/>
        </w:rPr>
      </w:pPr>
      <w:r>
        <w:rPr>
          <w:b/>
        </w:rPr>
        <w:lastRenderedPageBreak/>
        <w:t xml:space="preserve">Annexe 6b - Consolidation entre </w:t>
      </w:r>
      <w:r w:rsidRPr="00F77389">
        <w:rPr>
          <w:b/>
        </w:rPr>
        <w:t>personnes morales distinctes</w:t>
      </w:r>
      <w:r>
        <w:rPr>
          <w:b/>
        </w:rPr>
        <w:t xml:space="preserve"> : </w:t>
      </w:r>
    </w:p>
    <w:p w:rsidR="00F77389" w:rsidRDefault="00F77389" w:rsidP="00F77389">
      <w:pPr>
        <w:jc w:val="center"/>
        <w:rPr>
          <w:b/>
        </w:rPr>
      </w:pPr>
      <w:proofErr w:type="gramStart"/>
      <w:r w:rsidRPr="00F77389">
        <w:rPr>
          <w:b/>
        </w:rPr>
        <w:t>ensemble</w:t>
      </w:r>
      <w:proofErr w:type="gramEnd"/>
      <w:r w:rsidRPr="00F77389">
        <w:rPr>
          <w:b/>
        </w:rPr>
        <w:t xml:space="preserve"> (y compris syndicats)</w:t>
      </w:r>
    </w:p>
    <w:p w:rsidR="00F77389" w:rsidRPr="0016115C" w:rsidRDefault="00F77389" w:rsidP="00F77389">
      <w:pPr>
        <w:pStyle w:val="14Notestabann"/>
        <w:rPr>
          <w:spacing w:val="0"/>
          <w:sz w:val="20"/>
          <w:szCs w:val="12"/>
        </w:rPr>
      </w:pPr>
      <w:r w:rsidRPr="0016115C">
        <w:rPr>
          <w:spacing w:val="0"/>
          <w:sz w:val="20"/>
          <w:szCs w:val="12"/>
        </w:rPr>
        <w:t>Lecture : les dépenses d'intervention consolidés de l'ensemble des collectivités locales sont égales à la somme des dépenses d'intervention consolidées du bloc communal, des syndicats, des départements et des régions</w:t>
      </w:r>
      <w:r>
        <w:rPr>
          <w:spacing w:val="0"/>
          <w:sz w:val="20"/>
          <w:szCs w:val="12"/>
        </w:rPr>
        <w:t>,</w:t>
      </w:r>
      <w:r w:rsidRPr="0016115C">
        <w:rPr>
          <w:spacing w:val="0"/>
          <w:sz w:val="20"/>
          <w:szCs w:val="12"/>
        </w:rPr>
        <w:t xml:space="preserve"> de laquelle on soustrait les subventions de fonctionnement entre personnes morales distinctes : du bloc communal auquel on ajoute les syndicats à cette étape de la consolidation (BC) aux départements et aux régions (et CTU), des départements au BC et aux régions, des régions au BC et aux départements etc. Le flux de subvention de fonctionnement du BC (y compris syndicats) aux départements est estimé par le débit net des comptes 65733 et 6552 des communes (hors Martinique et Guyane). Ces subventions du BC aux départements se retrouvent par symétrie en recette des départements, et ils sont donc soustraits aussi des recettes de fonctionnement (dans le sous-total "Subventions reçues et participations").</w:t>
      </w:r>
    </w:p>
    <w:p w:rsidR="00F77389" w:rsidRDefault="00F77389" w:rsidP="00F77389">
      <w:pPr>
        <w:pStyle w:val="14Notestabann"/>
        <w:rPr>
          <w:spacing w:val="0"/>
        </w:rPr>
      </w:pP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b/>
          <w:sz w:val="19"/>
        </w:rPr>
      </w:pPr>
      <w:r w:rsidRPr="0016115C">
        <w:rPr>
          <w:rStyle w:val="Tableaugras"/>
          <w:b/>
          <w:sz w:val="17"/>
          <w:szCs w:val="13"/>
        </w:rPr>
        <w:t>Bloc communal y compris syndicats [BC] + Départements + Régions + CTU</w:t>
      </w:r>
      <w:r w:rsidRPr="0016115C">
        <w:rPr>
          <w:b/>
          <w:sz w:val="19"/>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b/>
          <w:sz w:val="19"/>
        </w:rPr>
      </w:pP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bleu"/>
          <w:b/>
          <w:sz w:val="17"/>
          <w:szCs w:val="13"/>
        </w:rPr>
        <w:t xml:space="preserve">Dépenses de fonctionnement </w:t>
      </w:r>
      <w:r w:rsidRPr="0016115C">
        <w:rPr>
          <w:rFonts w:ascii="StoneSans" w:hAnsi="StoneSans" w:cs="StoneSans"/>
          <w:b/>
          <w:spacing w:val="-1"/>
          <w:w w:val="95"/>
          <w:sz w:val="19"/>
          <w:szCs w:val="15"/>
          <w:lang w:bidi="ar-SA"/>
        </w:rPr>
        <w:tab/>
      </w:r>
      <w:r w:rsidRPr="0016115C">
        <w:rPr>
          <w:rFonts w:asciiTheme="majorHAnsi" w:hAnsiTheme="majorHAnsi" w:cs="StoneSans"/>
          <w:b/>
          <w:spacing w:val="-1"/>
          <w:w w:val="95"/>
          <w:sz w:val="18"/>
          <w:szCs w:val="16"/>
          <w:lang w:bidi="ar-SA"/>
        </w:rPr>
        <w:t>Comptes qui  estiment les flux à neutraliser :</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Achats et charges externes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Frais de personnel</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Charges financières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Dépenses d’intervention</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départements</w:t>
      </w:r>
      <w:r w:rsidRPr="0016115C">
        <w:rPr>
          <w:sz w:val="19"/>
        </w:rPr>
        <w:tab/>
      </w:r>
      <w:r w:rsidRPr="0016115C">
        <w:rPr>
          <w:sz w:val="17"/>
          <w:szCs w:val="13"/>
        </w:rPr>
        <w:t>Débit net du 65733 et 6552 du BC (hors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régions</w:t>
      </w:r>
      <w:r w:rsidRPr="0016115C">
        <w:rPr>
          <w:sz w:val="19"/>
        </w:rPr>
        <w:tab/>
      </w:r>
      <w:r w:rsidRPr="0016115C">
        <w:rPr>
          <w:sz w:val="17"/>
          <w:szCs w:val="13"/>
        </w:rPr>
        <w:t>Débit net du 65732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CTU</w:t>
      </w:r>
      <w:r w:rsidRPr="0016115C">
        <w:rPr>
          <w:sz w:val="19"/>
        </w:rPr>
        <w:tab/>
      </w:r>
      <w:r w:rsidRPr="0016115C">
        <w:rPr>
          <w:sz w:val="17"/>
          <w:szCs w:val="13"/>
        </w:rPr>
        <w:t>Débit net du 65732 et 6552 du BC de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départements au BC</w:t>
      </w:r>
      <w:r w:rsidRPr="0016115C">
        <w:rPr>
          <w:sz w:val="19"/>
        </w:rPr>
        <w:tab/>
      </w:r>
      <w:r w:rsidRPr="0016115C">
        <w:rPr>
          <w:sz w:val="17"/>
          <w:szCs w:val="13"/>
        </w:rPr>
        <w:t>Crédit net du 7473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régions au BC</w:t>
      </w:r>
      <w:r w:rsidRPr="0016115C">
        <w:rPr>
          <w:sz w:val="19"/>
        </w:rPr>
        <w:tab/>
      </w:r>
      <w:r w:rsidRPr="0016115C">
        <w:rPr>
          <w:sz w:val="17"/>
          <w:szCs w:val="13"/>
        </w:rPr>
        <w:t>Crédit net du 7472 du BC (hors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CTU au BC</w:t>
      </w:r>
      <w:r w:rsidRPr="0016115C">
        <w:rPr>
          <w:sz w:val="19"/>
        </w:rPr>
        <w:tab/>
      </w:r>
      <w:r w:rsidRPr="0016115C">
        <w:rPr>
          <w:sz w:val="17"/>
          <w:szCs w:val="13"/>
        </w:rPr>
        <w:t>Crédit net du 7472 et 7473 du BC de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régions aux départements</w:t>
      </w:r>
      <w:r w:rsidRPr="0016115C">
        <w:rPr>
          <w:sz w:val="19"/>
        </w:rPr>
        <w:tab/>
      </w:r>
      <w:r w:rsidRPr="0016115C">
        <w:rPr>
          <w:sz w:val="17"/>
          <w:szCs w:val="13"/>
        </w:rPr>
        <w:t>Crédit net du 7472 des départements</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départements aux régions</w:t>
      </w:r>
      <w:r w:rsidRPr="0016115C">
        <w:rPr>
          <w:sz w:val="19"/>
        </w:rPr>
        <w:tab/>
      </w:r>
      <w:r w:rsidRPr="0016115C">
        <w:rPr>
          <w:sz w:val="17"/>
          <w:szCs w:val="13"/>
        </w:rPr>
        <w:t>Débit net du 65732 des départements</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Autres dépenses de fonctionnement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bleu"/>
          <w:b/>
          <w:sz w:val="17"/>
          <w:szCs w:val="13"/>
        </w:rPr>
        <w:t>Recettes de fonctionnement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Impôts et taxes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Concours de l’État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Subventions reçues et participations</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départements</w:t>
      </w:r>
      <w:r w:rsidRPr="0016115C">
        <w:rPr>
          <w:sz w:val="19"/>
        </w:rPr>
        <w:tab/>
      </w:r>
      <w:r w:rsidRPr="0016115C">
        <w:rPr>
          <w:sz w:val="17"/>
          <w:szCs w:val="13"/>
        </w:rPr>
        <w:t>Débit net du 65733 et 6552 du BC (hors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régions</w:t>
      </w:r>
      <w:r w:rsidRPr="0016115C">
        <w:rPr>
          <w:sz w:val="19"/>
        </w:rPr>
        <w:tab/>
      </w:r>
      <w:r w:rsidRPr="0016115C">
        <w:rPr>
          <w:sz w:val="17"/>
          <w:szCs w:val="13"/>
        </w:rPr>
        <w:t>Débit net du 65732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du BC aux CTU</w:t>
      </w:r>
      <w:r w:rsidRPr="0016115C">
        <w:rPr>
          <w:sz w:val="19"/>
        </w:rPr>
        <w:tab/>
      </w:r>
      <w:r w:rsidRPr="0016115C">
        <w:rPr>
          <w:sz w:val="17"/>
          <w:szCs w:val="13"/>
        </w:rPr>
        <w:t>Débit net du 65732 et 6552 du BC de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départements au BC</w:t>
      </w:r>
      <w:r w:rsidRPr="0016115C">
        <w:rPr>
          <w:sz w:val="19"/>
        </w:rPr>
        <w:tab/>
      </w:r>
      <w:r w:rsidRPr="0016115C">
        <w:rPr>
          <w:sz w:val="17"/>
          <w:szCs w:val="13"/>
        </w:rPr>
        <w:t>Crédit net du 7473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régions au BC</w:t>
      </w:r>
      <w:r w:rsidRPr="0016115C">
        <w:rPr>
          <w:sz w:val="19"/>
        </w:rPr>
        <w:tab/>
      </w:r>
      <w:r w:rsidRPr="0016115C">
        <w:rPr>
          <w:sz w:val="17"/>
          <w:szCs w:val="13"/>
        </w:rPr>
        <w:t>Crédit net du 7472 du BC (hors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CTU au BC</w:t>
      </w:r>
      <w:r w:rsidRPr="0016115C">
        <w:rPr>
          <w:sz w:val="19"/>
        </w:rPr>
        <w:tab/>
      </w:r>
      <w:r w:rsidRPr="0016115C">
        <w:rPr>
          <w:sz w:val="17"/>
          <w:szCs w:val="13"/>
        </w:rPr>
        <w:t>Crédit net du 7472 et 7473 du BC de Martinique et Guyane</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régions aux départements</w:t>
      </w:r>
      <w:r w:rsidRPr="0016115C">
        <w:rPr>
          <w:sz w:val="19"/>
        </w:rPr>
        <w:tab/>
      </w:r>
      <w:r w:rsidRPr="0016115C">
        <w:rPr>
          <w:sz w:val="17"/>
          <w:szCs w:val="13"/>
        </w:rPr>
        <w:t>Crédit net du 7472 des départements</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de fonctionnement des départements aux régions</w:t>
      </w:r>
      <w:r w:rsidRPr="0016115C">
        <w:rPr>
          <w:sz w:val="19"/>
        </w:rPr>
        <w:tab/>
      </w:r>
      <w:r w:rsidRPr="0016115C">
        <w:rPr>
          <w:sz w:val="17"/>
          <w:szCs w:val="13"/>
        </w:rPr>
        <w:t>Débit net du 65732 des départements</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Ventes de biens et services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Autres recettes de fonctionnement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bleu"/>
          <w:b/>
          <w:sz w:val="17"/>
          <w:szCs w:val="13"/>
        </w:rPr>
        <w:t>Dépenses d’investissement hors remboursements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Dépenses d’équipement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Subventions d’équipement versées</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du BC aux départements</w:t>
      </w:r>
      <w:r w:rsidRPr="0016115C">
        <w:rPr>
          <w:sz w:val="19"/>
        </w:rPr>
        <w:tab/>
      </w:r>
      <w:r w:rsidRPr="0016115C">
        <w:rPr>
          <w:sz w:val="17"/>
          <w:szCs w:val="13"/>
        </w:rPr>
        <w:t>Débit du 20413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du BC aux régions</w:t>
      </w:r>
      <w:r w:rsidRPr="0016115C">
        <w:rPr>
          <w:sz w:val="19"/>
        </w:rPr>
        <w:tab/>
      </w:r>
      <w:r w:rsidRPr="0016115C">
        <w:rPr>
          <w:sz w:val="17"/>
          <w:szCs w:val="13"/>
        </w:rPr>
        <w:t>Débit du 20412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départements au BC</w:t>
      </w:r>
      <w:r w:rsidRPr="0016115C">
        <w:rPr>
          <w:sz w:val="19"/>
        </w:rPr>
        <w:tab/>
      </w:r>
      <w:r w:rsidRPr="0016115C">
        <w:rPr>
          <w:sz w:val="17"/>
          <w:szCs w:val="13"/>
        </w:rPr>
        <w:t>Crédit du 1313, 1323, 1383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régions au BC</w:t>
      </w:r>
      <w:r w:rsidRPr="0016115C">
        <w:rPr>
          <w:sz w:val="19"/>
        </w:rPr>
        <w:tab/>
      </w:r>
      <w:r w:rsidRPr="0016115C">
        <w:rPr>
          <w:sz w:val="17"/>
          <w:szCs w:val="13"/>
        </w:rPr>
        <w:t>Crédit du 1312, 1322, 1382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régions aux départements</w:t>
      </w:r>
      <w:r w:rsidRPr="0016115C">
        <w:rPr>
          <w:sz w:val="19"/>
        </w:rPr>
        <w:tab/>
      </w:r>
      <w:r w:rsidRPr="0016115C">
        <w:rPr>
          <w:sz w:val="17"/>
          <w:szCs w:val="13"/>
        </w:rPr>
        <w:t>Crédit du 1312, 1322, 1382 des départements</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départements aux régions</w:t>
      </w:r>
      <w:r w:rsidRPr="0016115C">
        <w:rPr>
          <w:sz w:val="19"/>
        </w:rPr>
        <w:tab/>
      </w:r>
      <w:r w:rsidRPr="0016115C">
        <w:rPr>
          <w:sz w:val="17"/>
          <w:szCs w:val="13"/>
        </w:rPr>
        <w:t>Débit du 20412 des départements</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Autres dépenses d’investissement</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bleu"/>
          <w:b/>
          <w:sz w:val="17"/>
          <w:szCs w:val="13"/>
        </w:rPr>
        <w:t>Recettes d’investissement hors emprunts</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FCTVA</w:t>
      </w:r>
      <w:r w:rsidRPr="0016115C">
        <w:rPr>
          <w:rFonts w:ascii="StoneSans" w:hAnsi="StoneSans" w:cs="StoneSans"/>
          <w:b/>
          <w:spacing w:val="-1"/>
          <w:w w:val="95"/>
          <w:sz w:val="19"/>
          <w:szCs w:val="15"/>
          <w:lang w:bidi="ar-SA"/>
        </w:rPr>
        <w:tab/>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Autres dotations et subventions d’équipement</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du BC aux départements</w:t>
      </w:r>
      <w:r w:rsidRPr="0016115C">
        <w:rPr>
          <w:sz w:val="19"/>
        </w:rPr>
        <w:tab/>
      </w:r>
      <w:r w:rsidRPr="0016115C">
        <w:rPr>
          <w:sz w:val="17"/>
          <w:szCs w:val="13"/>
        </w:rPr>
        <w:t>Débit du 20413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lastRenderedPageBreak/>
        <w:t>Subventions d’investissement du BC aux régions</w:t>
      </w:r>
      <w:r w:rsidRPr="0016115C">
        <w:rPr>
          <w:sz w:val="19"/>
        </w:rPr>
        <w:tab/>
      </w:r>
      <w:r w:rsidRPr="0016115C">
        <w:rPr>
          <w:sz w:val="17"/>
          <w:szCs w:val="13"/>
        </w:rPr>
        <w:t>Débit du 20412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départements au BC</w:t>
      </w:r>
      <w:r w:rsidRPr="0016115C">
        <w:rPr>
          <w:sz w:val="19"/>
        </w:rPr>
        <w:tab/>
      </w:r>
      <w:r w:rsidRPr="0016115C">
        <w:rPr>
          <w:sz w:val="17"/>
          <w:szCs w:val="13"/>
        </w:rPr>
        <w:t>Crédit du 1313, 1323, 1383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régions au BC</w:t>
      </w:r>
      <w:r w:rsidRPr="0016115C">
        <w:rPr>
          <w:sz w:val="19"/>
        </w:rPr>
        <w:tab/>
      </w:r>
      <w:r w:rsidRPr="0016115C">
        <w:rPr>
          <w:sz w:val="17"/>
          <w:szCs w:val="13"/>
        </w:rPr>
        <w:t>Crédit du 1312, 1322, 1382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régions aux départements</w:t>
      </w:r>
      <w:r w:rsidRPr="0016115C">
        <w:rPr>
          <w:sz w:val="19"/>
        </w:rPr>
        <w:tab/>
      </w:r>
      <w:r w:rsidRPr="0016115C">
        <w:rPr>
          <w:sz w:val="17"/>
          <w:szCs w:val="13"/>
        </w:rPr>
        <w:t>Crédit du 1312, 1322, 1382 des départements</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Subventions d’investissement des départements aux régions</w:t>
      </w:r>
      <w:r w:rsidRPr="0016115C">
        <w:rPr>
          <w:sz w:val="19"/>
        </w:rPr>
        <w:tab/>
      </w:r>
      <w:r w:rsidRPr="0016115C">
        <w:rPr>
          <w:sz w:val="17"/>
          <w:szCs w:val="13"/>
        </w:rPr>
        <w:t>Débit du 20412 des départements</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
          <w:b/>
          <w:sz w:val="17"/>
          <w:szCs w:val="13"/>
        </w:rPr>
        <w:t>Autres recettes d’investissement</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du BC aux régions</w:t>
      </w:r>
      <w:r w:rsidRPr="0016115C">
        <w:rPr>
          <w:sz w:val="19"/>
        </w:rPr>
        <w:tab/>
      </w:r>
      <w:r w:rsidRPr="0016115C">
        <w:rPr>
          <w:sz w:val="17"/>
          <w:szCs w:val="13"/>
        </w:rPr>
        <w:t>Débit du 16872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du BC aux départements</w:t>
      </w:r>
      <w:r w:rsidRPr="0016115C">
        <w:rPr>
          <w:sz w:val="19"/>
        </w:rPr>
        <w:tab/>
      </w:r>
      <w:r w:rsidRPr="0016115C">
        <w:rPr>
          <w:sz w:val="17"/>
          <w:szCs w:val="13"/>
        </w:rPr>
        <w:t>Débit du 16873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des régions au BC</w:t>
      </w:r>
      <w:r w:rsidRPr="0016115C">
        <w:rPr>
          <w:sz w:val="19"/>
        </w:rPr>
        <w:tab/>
      </w:r>
      <w:r w:rsidRPr="0016115C">
        <w:rPr>
          <w:sz w:val="17"/>
          <w:szCs w:val="13"/>
        </w:rPr>
        <w:t>Crédit du 27632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des départements au BC</w:t>
      </w:r>
      <w:r w:rsidRPr="0016115C">
        <w:rPr>
          <w:sz w:val="19"/>
        </w:rPr>
        <w:tab/>
      </w:r>
      <w:r w:rsidRPr="0016115C">
        <w:rPr>
          <w:sz w:val="17"/>
          <w:szCs w:val="13"/>
        </w:rPr>
        <w:t>Crédit du 27633 du BC</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Fonts w:ascii="StoneSerif" w:hAnsi="StoneSerif" w:cs="Times New Roman"/>
          <w:b/>
          <w:color w:val="auto"/>
          <w:sz w:val="28"/>
          <w:lang w:bidi="ar-SA"/>
        </w:rPr>
      </w:pPr>
      <w:r w:rsidRPr="0016115C">
        <w:rPr>
          <w:rStyle w:val="Tableaugrasbleu"/>
          <w:b/>
          <w:sz w:val="17"/>
          <w:szCs w:val="13"/>
        </w:rPr>
        <w:t>Remboursements de dette</w:t>
      </w:r>
      <w:r w:rsidRPr="0016115C">
        <w:rPr>
          <w:rFonts w:ascii="StoneSans" w:hAnsi="StoneSans" w:cs="StoneSans"/>
          <w:b/>
          <w:spacing w:val="-1"/>
          <w:w w:val="95"/>
          <w:sz w:val="19"/>
          <w:szCs w:val="15"/>
          <w:lang w:bidi="ar-SA"/>
        </w:rPr>
        <w:tab/>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du BC aux régions</w:t>
      </w:r>
      <w:r w:rsidRPr="0016115C">
        <w:rPr>
          <w:sz w:val="19"/>
        </w:rPr>
        <w:tab/>
      </w:r>
      <w:r w:rsidRPr="0016115C">
        <w:rPr>
          <w:sz w:val="17"/>
          <w:szCs w:val="13"/>
        </w:rPr>
        <w:t>Débit du 16872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du BC aux départements</w:t>
      </w:r>
      <w:r w:rsidRPr="0016115C">
        <w:rPr>
          <w:sz w:val="19"/>
        </w:rPr>
        <w:tab/>
      </w:r>
      <w:r w:rsidRPr="0016115C">
        <w:rPr>
          <w:sz w:val="17"/>
          <w:szCs w:val="13"/>
        </w:rPr>
        <w:t>Débit du 16873 du BC</w:t>
      </w:r>
    </w:p>
    <w:p w:rsidR="00F77389" w:rsidRPr="0016115C"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9"/>
        </w:rPr>
      </w:pPr>
      <w:r w:rsidRPr="0016115C">
        <w:rPr>
          <w:sz w:val="17"/>
          <w:szCs w:val="13"/>
        </w:rPr>
        <w:t>Remboursements d’emprunts des régions au BC</w:t>
      </w:r>
      <w:r w:rsidRPr="0016115C">
        <w:rPr>
          <w:sz w:val="19"/>
        </w:rPr>
        <w:tab/>
      </w:r>
      <w:r w:rsidRPr="0016115C">
        <w:rPr>
          <w:sz w:val="17"/>
          <w:szCs w:val="13"/>
        </w:rPr>
        <w:t>Crédit du 27632 du BC</w:t>
      </w:r>
    </w:p>
    <w:p w:rsidR="00F77389" w:rsidRDefault="00F77389" w:rsidP="00F77389">
      <w:pPr>
        <w:pStyle w:val="12bAnntab"/>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before="0" w:line="240" w:lineRule="auto"/>
        <w:contextualSpacing/>
        <w:rPr>
          <w:sz w:val="17"/>
          <w:szCs w:val="13"/>
        </w:rPr>
      </w:pPr>
      <w:r w:rsidRPr="0016115C">
        <w:rPr>
          <w:sz w:val="17"/>
          <w:szCs w:val="13"/>
        </w:rPr>
        <w:t>Remboursements d’emprunts des départements au BC</w:t>
      </w:r>
      <w:r w:rsidRPr="0016115C">
        <w:rPr>
          <w:sz w:val="19"/>
        </w:rPr>
        <w:tab/>
      </w:r>
      <w:r w:rsidRPr="0016115C">
        <w:rPr>
          <w:sz w:val="17"/>
          <w:szCs w:val="13"/>
        </w:rPr>
        <w:t>Crédit du 27633 du BC</w:t>
      </w:r>
    </w:p>
    <w:p w:rsidR="00F77389" w:rsidRPr="0016115C" w:rsidRDefault="00F77389" w:rsidP="00F77389">
      <w:pPr>
        <w:pStyle w:val="Aucunstyle"/>
        <w:pBdr>
          <w:top w:val="single" w:sz="4" w:space="1" w:color="000000"/>
          <w:left w:val="single" w:sz="4" w:space="1" w:color="000000"/>
          <w:bottom w:val="single" w:sz="4" w:space="1" w:color="000000"/>
          <w:right w:val="single" w:sz="4" w:space="1" w:color="000000"/>
          <w:between w:val="single" w:sz="4" w:space="1" w:color="000000"/>
          <w:bar w:val="single" w:sz="4" w:color="000000"/>
        </w:pBdr>
        <w:tabs>
          <w:tab w:val="left" w:pos="3458"/>
        </w:tabs>
        <w:spacing w:line="240" w:lineRule="auto"/>
        <w:contextualSpacing/>
        <w:jc w:val="left"/>
        <w:textAlignment w:val="auto"/>
        <w:rPr>
          <w:rStyle w:val="Tableaugrasbleu"/>
          <w:b/>
          <w:sz w:val="17"/>
          <w:szCs w:val="17"/>
        </w:rPr>
      </w:pPr>
      <w:r w:rsidRPr="0016115C">
        <w:rPr>
          <w:rStyle w:val="Tableaugrasbleu"/>
          <w:b/>
          <w:sz w:val="17"/>
          <w:szCs w:val="17"/>
        </w:rPr>
        <w:t>Emprunts</w:t>
      </w:r>
    </w:p>
    <w:p w:rsidR="00F77389" w:rsidRDefault="00F77389" w:rsidP="00F77389">
      <w:pPr>
        <w:pStyle w:val="16aInterannsans"/>
        <w:keepNext w:val="0"/>
        <w:keepLines w:val="0"/>
        <w:spacing w:before="0"/>
        <w:ind w:left="215" w:hanging="215"/>
        <w:rPr>
          <w:sz w:val="24"/>
        </w:rPr>
        <w:sectPr w:rsidR="00F77389" w:rsidSect="00F77389">
          <w:pgSz w:w="11906" w:h="16838"/>
          <w:pgMar w:top="1417" w:right="1417" w:bottom="1417" w:left="1417" w:header="708" w:footer="708" w:gutter="0"/>
          <w:cols w:space="708"/>
          <w:docGrid w:linePitch="360"/>
        </w:sectPr>
      </w:pPr>
    </w:p>
    <w:p w:rsidR="00206AFA" w:rsidRDefault="00A92832" w:rsidP="00F77389">
      <w:pPr>
        <w:jc w:val="center"/>
        <w:rPr>
          <w:b/>
        </w:rPr>
      </w:pPr>
      <w:r w:rsidRPr="003D73A1">
        <w:rPr>
          <w:b/>
        </w:rPr>
        <w:lastRenderedPageBreak/>
        <w:t xml:space="preserve">Annexe </w:t>
      </w:r>
      <w:r w:rsidR="002803FB">
        <w:rPr>
          <w:b/>
        </w:rPr>
        <w:t>7</w:t>
      </w:r>
      <w:r w:rsidRPr="003D73A1">
        <w:rPr>
          <w:b/>
        </w:rPr>
        <w:t xml:space="preserve"> - Cas particuliers</w:t>
      </w:r>
    </w:p>
    <w:p w:rsidR="00D5356E" w:rsidRPr="003D73A1" w:rsidRDefault="00D5356E" w:rsidP="00736D51">
      <w:pPr>
        <w:spacing w:after="120"/>
        <w:ind w:left="-142"/>
        <w:jc w:val="center"/>
        <w:rPr>
          <w:b/>
        </w:rPr>
      </w:pPr>
    </w:p>
    <w:p w:rsidR="003D73A1" w:rsidRPr="00D5356E" w:rsidRDefault="00D5356E" w:rsidP="003D73A1">
      <w:pPr>
        <w:jc w:val="both"/>
        <w:rPr>
          <w:b/>
        </w:rPr>
      </w:pPr>
      <w:proofErr w:type="gramStart"/>
      <w:r w:rsidRPr="00D5356E">
        <w:rPr>
          <w:b/>
        </w:rPr>
        <w:t>1 )</w:t>
      </w:r>
      <w:proofErr w:type="gramEnd"/>
      <w:r w:rsidRPr="00D5356E">
        <w:rPr>
          <w:b/>
        </w:rPr>
        <w:t xml:space="preserve"> Traitements des dépenses et des recettes liées à l’apparition de la métropole du grand Paris (MGP) en 2016.</w:t>
      </w:r>
    </w:p>
    <w:p w:rsidR="00D5356E" w:rsidRDefault="00D5356E" w:rsidP="00D5356E">
      <w:pPr>
        <w:jc w:val="both"/>
      </w:pPr>
      <w:r>
        <w:t xml:space="preserve">La métropole du Grand Paris (MGP) a été créée le 1er janvier 2016 ; elle regroupe 131 communes. Les 11 établissements publics territoriaux (EPT) prennent en 2016 la suite des GFP qui existaient en 2015 et intègrent les communes qui étaient jusqu’à présent isolées ; la situation de Paris reste particulière puisque la commune joue le rôle d’EPT. Dans les comptes diffusés par la DGCL, la MGP et ses EPT sont intégrés dans les groupements à fiscalité propre, Paris restant dans le compte des communes. Des flux financiers importants apparaissent alors à partir de 2016 entre les communes, les EPT et la MGP. Le traitement retenu varie selon les flux. </w:t>
      </w:r>
    </w:p>
    <w:p w:rsidR="00D5356E" w:rsidRDefault="00D5356E" w:rsidP="00D5356E">
      <w:pPr>
        <w:jc w:val="both"/>
      </w:pPr>
      <w:proofErr w:type="gramStart"/>
      <w:r>
        <w:t>a -</w:t>
      </w:r>
      <w:proofErr w:type="gramEnd"/>
      <w:r>
        <w:t xml:space="preserve"> La loi </w:t>
      </w:r>
      <w:proofErr w:type="spellStart"/>
      <w:r>
        <w:t>NOTRe</w:t>
      </w:r>
      <w:proofErr w:type="spellEnd"/>
      <w:r>
        <w:t xml:space="preserve"> (Nouvelle organisation territorial de la République) garantit aux EPT le même niveau de ressources que les groupements à fiscalité propre préexistants. Selon les cas, c’est la MGP qui verse une dotation d’équilibre aux EPT, ou l’inverse ; les montants en jeu sont de l’ordre d’un milliard d’euros. Les montants sont déclarés en recettes ou moindres recettes par la MGP (comptes 74861 ou 74869 en M57) et par les EPT (comptes 7431 ou 7439 en M14). Il n’y a donc aucun traitement spécifique à faire puisque ces flux s’annulent au sein du même agrégat (« Autres recettes de fonctionnement ») dans le même niveau de collectivités (les GFP).</w:t>
      </w:r>
    </w:p>
    <w:p w:rsidR="00D5356E" w:rsidRDefault="00D5356E" w:rsidP="00D5356E">
      <w:pPr>
        <w:jc w:val="both"/>
      </w:pPr>
      <w:r>
        <w:t>b - Une autre conséquence de la création de la MGP en 2016 est la mise en place du fonds de compensation des charges territoriales (FCCT), pour compenser le fait que les communes perçoivent aujourd’hui des recettes fiscales qui étaient auparavant perçues par les GFP (FB, TH, ex-part départementale de TH</w:t>
      </w:r>
      <w:r w:rsidR="006F2B2F">
        <w:t xml:space="preserve">, </w:t>
      </w:r>
      <w:r>
        <w:t>…). Compte tenu de la nature comptable des opérations, le versement des communes est enregistré dans leur compte 65541 en M14, comme une contribution, et en recettes des GFP (en compte 74752). Ce flux, de l’ordre d’un milliard d’euros, perturberait l’analyse de l’évolution des comptes si l’on considérait la contribution des communes comme une subvention versée, puisque cela augmenterait artificiellement leurs dépenses ; ce flux perturberait également les comparaisons entre communes, notamment par taille puisque ce flux concerne surtout des communes de plus de 20 000 habitants. Pour pouvoir mieux interpréter les comptes des communes, on décide donc de neutraliser leur contribution au FCCT en ne la considérant pas comme une dépense, mais en la déduisant des recettes fiscales des communes ; dans le compte des GFP, on intègre symétriquement ces recettes perçues par les GFP non pas dans les subventions reçues, mais dans l’agrégat « fiscalité reversée » afin de privilégier une approche économique plutôt que strictement comptable. Les nouvelles spécifications des agrégats comptables décrites dans le tableau de définitions en ligne précisent ces traitements.</w:t>
      </w:r>
    </w:p>
    <w:p w:rsidR="00D5356E" w:rsidRDefault="00D5356E" w:rsidP="00D5356E">
      <w:pPr>
        <w:jc w:val="both"/>
      </w:pPr>
      <w:r>
        <w:t xml:space="preserve">c - Par ailleurs, d’autres flux apparaissent du fait que la MGP perçoit des ressources (DGF, impôts économiques) qui étaient perçues en 2015 par les GFP préexistants ou par les </w:t>
      </w:r>
      <w:proofErr w:type="gramStart"/>
      <w:r>
        <w:t>communes</w:t>
      </w:r>
      <w:proofErr w:type="gramEnd"/>
      <w:r>
        <w:t xml:space="preserve"> membres, et que, pour l’essentiel, la MGP reverse en 2016 aux communes. </w:t>
      </w:r>
    </w:p>
    <w:p w:rsidR="00D5356E" w:rsidRDefault="00D5356E" w:rsidP="00D5356E">
      <w:pPr>
        <w:jc w:val="both"/>
      </w:pPr>
      <w:r>
        <w:t>Ces flux n’affectent toutefois que quelques agrégats comptables au sein des recettes de fonctionnement : la fiscalité reversée reçue par les communes, les impôts locaux, la DGF, et par répercussion au niveau supérieur d’agrégation, les postes « Concours de</w:t>
      </w:r>
      <w:r w:rsidR="006F2B2F">
        <w:t xml:space="preserve"> l’État », et « Impôts et taxes </w:t>
      </w:r>
      <w:r>
        <w:t xml:space="preserve">». Pour apprécier les évolutions de ces agrégats entre 2015 et 2016, il convient donc là encore de raisonner à périmètre géographique constant, c’est-à-dire de soustraire de l’analyse en 2015 et en </w:t>
      </w:r>
      <w:r>
        <w:lastRenderedPageBreak/>
        <w:t>2016 les 131 communes et tous les EPCI touchés directement ou indirectement en 2016 par la création de la MGP.</w:t>
      </w:r>
    </w:p>
    <w:p w:rsidR="00D5356E" w:rsidRDefault="00D5356E" w:rsidP="00D5356E">
      <w:pPr>
        <w:jc w:val="both"/>
      </w:pPr>
      <w:r>
        <w:t>L’ensemble des recettes de fonctionnement n’est en revanche pas affecté, les flux se compensant à l’intérieur de cet ensemble pour chaque niveau de collectivité. Pour les postes qui ne sont pas affectés, il n’est pas nécessaire de présenter des évolutions « à périmètre constant, hors contour de la MGP ». Nous présentons donc les évolutions « hors contour de la MGP » seulement pour les agrégats cités ci-dessus, qui sont touchés par ces flux.</w:t>
      </w:r>
    </w:p>
    <w:p w:rsidR="006F2B2F" w:rsidRDefault="006F2B2F" w:rsidP="003D73A1">
      <w:pPr>
        <w:jc w:val="both"/>
        <w:rPr>
          <w:b/>
        </w:rPr>
      </w:pPr>
    </w:p>
    <w:p w:rsidR="00A92832" w:rsidRPr="003D73A1" w:rsidRDefault="006F2B2F" w:rsidP="003D73A1">
      <w:pPr>
        <w:jc w:val="both"/>
        <w:rPr>
          <w:b/>
        </w:rPr>
      </w:pPr>
      <w:proofErr w:type="gramStart"/>
      <w:r>
        <w:rPr>
          <w:b/>
        </w:rPr>
        <w:t>2</w:t>
      </w:r>
      <w:r w:rsidR="00AB4724">
        <w:rPr>
          <w:b/>
        </w:rPr>
        <w:t xml:space="preserve"> )</w:t>
      </w:r>
      <w:proofErr w:type="gramEnd"/>
      <w:r w:rsidR="00AB4724">
        <w:rPr>
          <w:b/>
        </w:rPr>
        <w:t xml:space="preserve"> </w:t>
      </w:r>
      <w:r w:rsidR="00A92832" w:rsidRPr="003D73A1">
        <w:rPr>
          <w:b/>
        </w:rPr>
        <w:t xml:space="preserve">Les </w:t>
      </w:r>
      <w:r w:rsidR="003D73A1">
        <w:rPr>
          <w:b/>
        </w:rPr>
        <w:t>budgets codé</w:t>
      </w:r>
      <w:r w:rsidR="00A92832" w:rsidRPr="003D73A1">
        <w:rPr>
          <w:b/>
        </w:rPr>
        <w:t>s en M22</w:t>
      </w:r>
    </w:p>
    <w:p w:rsidR="00B9518C" w:rsidRDefault="00B9518C" w:rsidP="00AB4724">
      <w:pPr>
        <w:spacing w:after="120"/>
        <w:jc w:val="both"/>
      </w:pPr>
      <w:r>
        <w:t>- Rattachement à un budget principal</w:t>
      </w:r>
    </w:p>
    <w:p w:rsidR="003D73A1" w:rsidRDefault="00A92832" w:rsidP="003D73A1">
      <w:pPr>
        <w:jc w:val="both"/>
      </w:pPr>
      <w:r>
        <w:t xml:space="preserve">Les établissements et services publics sociaux et médico-sociaux </w:t>
      </w:r>
      <w:r w:rsidR="003D73A1">
        <w:t xml:space="preserve">(EPSM) </w:t>
      </w:r>
      <w:r>
        <w:t>sont codés dans la nomenclature M22.</w:t>
      </w:r>
      <w:r w:rsidR="003D73A1">
        <w:t xml:space="preserve"> Leur CTYPE commencent tous par 58</w:t>
      </w:r>
      <w:r w:rsidR="00AB4724">
        <w:t> </w:t>
      </w:r>
      <w:r w:rsidR="00B9518C">
        <w:t>: 580 - maison de retraite (BA de CCAS, CIAS ou dépa</w:t>
      </w:r>
      <w:r w:rsidR="00AB4724">
        <w:t>r</w:t>
      </w:r>
      <w:r w:rsidR="00B9518C">
        <w:t>t</w:t>
      </w:r>
      <w:r w:rsidR="00AB4724">
        <w:t>e</w:t>
      </w:r>
      <w:r w:rsidR="00B9518C">
        <w:t>ment)</w:t>
      </w:r>
      <w:r w:rsidR="00AB4724">
        <w:t> </w:t>
      </w:r>
      <w:r w:rsidR="00B9518C">
        <w:t>; 581-EHPAD (idem)</w:t>
      </w:r>
      <w:r w:rsidR="00AB4724">
        <w:t> </w:t>
      </w:r>
      <w:r w:rsidR="00B9518C">
        <w:t>; etc</w:t>
      </w:r>
      <w:r w:rsidR="003D73A1">
        <w:t xml:space="preserve">. </w:t>
      </w:r>
    </w:p>
    <w:p w:rsidR="00A92832" w:rsidRDefault="003D73A1" w:rsidP="003D73A1">
      <w:pPr>
        <w:jc w:val="both"/>
      </w:pPr>
      <w:r>
        <w:t xml:space="preserve">Ce sont des budgets annexes rattachés à une collectivité territoriale en M14, M57 ou M52. Quand on veut donc inclure les budgets annexes en M22 à l’ensemble des budgets annexes par type de collectivité (communes, EPCI ou département par exemple) il faut au préalable faire un appariement sur le numéro </w:t>
      </w:r>
      <w:proofErr w:type="spellStart"/>
      <w:r>
        <w:t>Siren</w:t>
      </w:r>
      <w:proofErr w:type="spellEnd"/>
      <w:r>
        <w:t xml:space="preserve"> de la collectivité, et recoder le CTYPE du budget en M22 (580, </w:t>
      </w:r>
      <w:r w:rsidR="00B9518C">
        <w:t>5</w:t>
      </w:r>
      <w:r>
        <w:t xml:space="preserve">81, 582 etc.) par le CTYPE d’un budget annexe d’une commune (410), d’un EPCI (440, 450) ou d’un département (420). Ce traitement est fait dans le programme de consolidation des comptes, mais pas dans celui d‘élaboration des bases de travail </w:t>
      </w:r>
      <w:r w:rsidR="00B9518C">
        <w:t xml:space="preserve">standard </w:t>
      </w:r>
      <w:r>
        <w:t>des comptes de gestion.</w:t>
      </w:r>
    </w:p>
    <w:p w:rsidR="00B9518C" w:rsidRDefault="00B9518C" w:rsidP="00AB4724">
      <w:pPr>
        <w:spacing w:after="120"/>
        <w:jc w:val="both"/>
      </w:pPr>
      <w:r>
        <w:t>- Retraitement des recettes</w:t>
      </w:r>
    </w:p>
    <w:p w:rsidR="00AB4724" w:rsidRPr="00AB4724" w:rsidRDefault="00B9518C" w:rsidP="00AB4724">
      <w:pPr>
        <w:spacing w:after="100" w:afterAutospacing="1"/>
        <w:jc w:val="both"/>
        <w:rPr>
          <w:rFonts w:ascii="Times New Roman" w:eastAsia="Times New Roman" w:hAnsi="Times New Roman" w:cs="Times New Roman"/>
          <w:sz w:val="24"/>
          <w:szCs w:val="24"/>
          <w:lang w:eastAsia="fr-FR"/>
        </w:rPr>
      </w:pPr>
      <w:r>
        <w:t>Les recettes des EPSM ne suivent pas les mêmes standards que celles des autres, et les codes habituellement réservées à la fiscalité (comptes 73) et aux subventions et participations de l’État (comptes 74) sont utilisés à l’affectation des recettes des établissements (sécurité sociale, usagers etc.). On adapte donc les calculs des agrégats de diffusion par les traitements suivants, proposés par l’OFGL en 2020 (ce qui expliquera des écarts éventuels avec les publications sorties avant 2020).</w:t>
      </w:r>
      <w:r w:rsidR="00AB4724" w:rsidRPr="00AB4724">
        <w:rPr>
          <w:b/>
          <w:bCs/>
        </w:rPr>
        <w:t xml:space="preserve">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color w:val="FF0000"/>
          <w:sz w:val="20"/>
          <w:szCs w:val="20"/>
          <w:lang w:eastAsia="fr-FR"/>
        </w:rPr>
        <w:t xml:space="preserve">Fiscalité reversée </w:t>
      </w:r>
      <w:r w:rsidRPr="00AB4724">
        <w:rPr>
          <w:rFonts w:ascii="Wingdings" w:eastAsia="Times New Roman" w:hAnsi="Wingdings" w:cs="Times New Roman"/>
          <w:b/>
          <w:bCs/>
          <w:color w:val="FF0000"/>
          <w:sz w:val="20"/>
          <w:szCs w:val="20"/>
          <w:lang w:eastAsia="fr-FR"/>
        </w:rPr>
        <w:t></w:t>
      </w:r>
      <w:r w:rsidRPr="00AB4724">
        <w:rPr>
          <w:rFonts w:ascii="Times New Roman" w:eastAsia="Times New Roman" w:hAnsi="Times New Roman" w:cs="Times New Roman"/>
          <w:b/>
          <w:bCs/>
          <w:color w:val="FF0000"/>
          <w:sz w:val="20"/>
          <w:szCs w:val="20"/>
          <w:lang w:eastAsia="fr-FR"/>
        </w:rPr>
        <w:t xml:space="preserve"> vide pour M22</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color w:val="FF0000"/>
          <w:sz w:val="20"/>
          <w:szCs w:val="20"/>
          <w:lang w:eastAsia="fr-FR"/>
        </w:rPr>
        <w:t xml:space="preserve">Impôts locaux </w:t>
      </w:r>
      <w:r w:rsidRPr="00AB4724">
        <w:rPr>
          <w:rFonts w:ascii="Wingdings" w:eastAsia="Times New Roman" w:hAnsi="Wingdings" w:cs="Times New Roman"/>
          <w:b/>
          <w:bCs/>
          <w:color w:val="FF0000"/>
          <w:sz w:val="20"/>
          <w:szCs w:val="20"/>
          <w:lang w:eastAsia="fr-FR"/>
        </w:rPr>
        <w:t></w:t>
      </w:r>
      <w:r w:rsidRPr="00AB4724">
        <w:rPr>
          <w:rFonts w:ascii="Times New Roman" w:eastAsia="Times New Roman" w:hAnsi="Times New Roman" w:cs="Times New Roman"/>
          <w:b/>
          <w:bCs/>
          <w:color w:val="FF0000"/>
          <w:sz w:val="20"/>
          <w:szCs w:val="20"/>
          <w:lang w:eastAsia="fr-FR"/>
        </w:rPr>
        <w:t xml:space="preserve"> vide pour M22</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color w:val="FF0000"/>
          <w:sz w:val="20"/>
          <w:szCs w:val="20"/>
          <w:lang w:eastAsia="fr-FR"/>
        </w:rPr>
        <w:t>Autres</w:t>
      </w:r>
      <w:r>
        <w:rPr>
          <w:rFonts w:ascii="Times New Roman" w:eastAsia="Times New Roman" w:hAnsi="Times New Roman" w:cs="Times New Roman"/>
          <w:b/>
          <w:bCs/>
          <w:color w:val="FF0000"/>
          <w:sz w:val="20"/>
          <w:szCs w:val="20"/>
          <w:lang w:eastAsia="fr-FR"/>
        </w:rPr>
        <w:t xml:space="preserve"> </w:t>
      </w:r>
      <w:r w:rsidRPr="00AB4724">
        <w:rPr>
          <w:rFonts w:ascii="Times New Roman" w:eastAsia="Times New Roman" w:hAnsi="Times New Roman" w:cs="Times New Roman"/>
          <w:b/>
          <w:bCs/>
          <w:color w:val="FF0000"/>
          <w:sz w:val="20"/>
          <w:szCs w:val="20"/>
          <w:lang w:eastAsia="fr-FR"/>
        </w:rPr>
        <w:t>impôts</w:t>
      </w:r>
      <w:r>
        <w:rPr>
          <w:rFonts w:ascii="Times New Roman" w:eastAsia="Times New Roman" w:hAnsi="Times New Roman" w:cs="Times New Roman"/>
          <w:b/>
          <w:bCs/>
          <w:color w:val="FF0000"/>
          <w:sz w:val="20"/>
          <w:szCs w:val="20"/>
          <w:lang w:eastAsia="fr-FR"/>
        </w:rPr>
        <w:t xml:space="preserve"> </w:t>
      </w:r>
      <w:r w:rsidRPr="00AB4724">
        <w:rPr>
          <w:rFonts w:ascii="Times New Roman" w:eastAsia="Times New Roman" w:hAnsi="Times New Roman" w:cs="Times New Roman"/>
          <w:b/>
          <w:bCs/>
          <w:color w:val="FF0000"/>
          <w:sz w:val="20"/>
          <w:szCs w:val="20"/>
          <w:lang w:eastAsia="fr-FR"/>
        </w:rPr>
        <w:t>et</w:t>
      </w:r>
      <w:r>
        <w:rPr>
          <w:rFonts w:ascii="Times New Roman" w:eastAsia="Times New Roman" w:hAnsi="Times New Roman" w:cs="Times New Roman"/>
          <w:b/>
          <w:bCs/>
          <w:color w:val="FF0000"/>
          <w:sz w:val="20"/>
          <w:szCs w:val="20"/>
          <w:lang w:eastAsia="fr-FR"/>
        </w:rPr>
        <w:t xml:space="preserve"> </w:t>
      </w:r>
      <w:r w:rsidRPr="00AB4724">
        <w:rPr>
          <w:rFonts w:ascii="Times New Roman" w:eastAsia="Times New Roman" w:hAnsi="Times New Roman" w:cs="Times New Roman"/>
          <w:b/>
          <w:bCs/>
          <w:color w:val="FF0000"/>
          <w:sz w:val="20"/>
          <w:szCs w:val="20"/>
          <w:lang w:eastAsia="fr-FR"/>
        </w:rPr>
        <w:t>taxes</w:t>
      </w:r>
      <w:r>
        <w:rPr>
          <w:rFonts w:ascii="Times New Roman" w:eastAsia="Times New Roman" w:hAnsi="Times New Roman" w:cs="Times New Roman"/>
          <w:b/>
          <w:bCs/>
          <w:color w:val="FF0000"/>
          <w:sz w:val="20"/>
          <w:szCs w:val="20"/>
          <w:lang w:eastAsia="fr-FR"/>
        </w:rPr>
        <w:t> </w:t>
      </w:r>
      <w:r w:rsidRPr="00AB4724">
        <w:rPr>
          <w:rFonts w:ascii="Times New Roman" w:eastAsia="Times New Roman" w:hAnsi="Times New Roman" w:cs="Times New Roman"/>
          <w:b/>
          <w:bCs/>
          <w:color w:val="FF0000"/>
          <w:sz w:val="20"/>
          <w:szCs w:val="20"/>
          <w:lang w:eastAsia="fr-FR"/>
        </w:rPr>
        <w:t>:</w:t>
      </w:r>
      <w:proofErr w:type="gramStart"/>
      <w:r w:rsidRPr="00AB4724">
        <w:rPr>
          <w:rFonts w:ascii="Times New Roman" w:eastAsia="Times New Roman" w:hAnsi="Times New Roman" w:cs="Times New Roman"/>
          <w:b/>
          <w:bCs/>
          <w:color w:val="FF0000"/>
          <w:sz w:val="20"/>
          <w:szCs w:val="20"/>
          <w:lang w:eastAsia="fr-FR"/>
        </w:rPr>
        <w:t xml:space="preserve">  </w:t>
      </w:r>
      <w:r w:rsidRPr="00AB4724">
        <w:rPr>
          <w:rFonts w:ascii="Wingdings" w:eastAsia="Times New Roman" w:hAnsi="Wingdings" w:cs="Times New Roman"/>
          <w:b/>
          <w:bCs/>
          <w:color w:val="FF0000"/>
          <w:sz w:val="20"/>
          <w:szCs w:val="20"/>
          <w:lang w:eastAsia="fr-FR"/>
        </w:rPr>
        <w:t></w:t>
      </w:r>
      <w:proofErr w:type="gramEnd"/>
      <w:r w:rsidRPr="00AB4724">
        <w:rPr>
          <w:rFonts w:ascii="Times New Roman" w:eastAsia="Times New Roman" w:hAnsi="Times New Roman" w:cs="Times New Roman"/>
          <w:b/>
          <w:bCs/>
          <w:color w:val="FF0000"/>
          <w:sz w:val="20"/>
          <w:szCs w:val="20"/>
          <w:lang w:eastAsia="fr-FR"/>
        </w:rPr>
        <w:t xml:space="preserve"> vide pour M22</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sz w:val="20"/>
          <w:szCs w:val="20"/>
          <w:lang w:eastAsia="fr-FR"/>
        </w:rPr>
        <w:t>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sz w:val="20"/>
          <w:szCs w:val="20"/>
          <w:lang w:eastAsia="fr-FR"/>
        </w:rPr>
        <w:t xml:space="preserve">Subventions reçues et participations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731 - Produits à la charge de l’assurance maladie (hors EHPAD)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+ 733 - Produits à la charge du département (hors EHPAD)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+ 735. Produits des EHPAD et des petites unités de vie en tarification ternaire – secteur des personnes âgées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7353 - Produits à la charge de l’usager (va dans « ventes…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+ 738 - Produits à la charge d’autres financeurs </w:t>
      </w:r>
      <w:r w:rsidRPr="00AB4724">
        <w:rPr>
          <w:rFonts w:ascii="Wingdings" w:eastAsia="Times New Roman" w:hAnsi="Wingdings" w:cs="Times New Roman"/>
          <w:color w:val="FF0000"/>
          <w:sz w:val="20"/>
          <w:szCs w:val="20"/>
          <w:lang w:eastAsia="fr-FR"/>
        </w:rPr>
        <w:t></w:t>
      </w:r>
      <w:r w:rsidRPr="00AB4724">
        <w:rPr>
          <w:rFonts w:ascii="Times New Roman" w:eastAsia="Times New Roman" w:hAnsi="Times New Roman" w:cs="Times New Roman"/>
          <w:color w:val="FF0000"/>
          <w:sz w:val="20"/>
          <w:szCs w:val="20"/>
          <w:lang w:eastAsia="fr-FR"/>
        </w:rPr>
        <w:t xml:space="preserve"> </w:t>
      </w:r>
      <w:proofErr w:type="spellStart"/>
      <w:r w:rsidRPr="00AB4724">
        <w:rPr>
          <w:rFonts w:ascii="Times New Roman" w:eastAsia="Times New Roman" w:hAnsi="Times New Roman" w:cs="Times New Roman"/>
          <w:color w:val="FF0000"/>
          <w:sz w:val="20"/>
          <w:szCs w:val="20"/>
          <w:lang w:eastAsia="fr-FR"/>
        </w:rPr>
        <w:t>Subv</w:t>
      </w:r>
      <w:proofErr w:type="spellEnd"/>
      <w:r w:rsidRPr="00AB4724">
        <w:rPr>
          <w:rFonts w:ascii="Times New Roman" w:eastAsia="Times New Roman" w:hAnsi="Times New Roman" w:cs="Times New Roman"/>
          <w:color w:val="FF0000"/>
          <w:sz w:val="20"/>
          <w:szCs w:val="20"/>
          <w:lang w:eastAsia="fr-FR"/>
        </w:rPr>
        <w:t xml:space="preserve"> reçues et participations</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 xml:space="preserve"> + </w:t>
      </w:r>
      <w:proofErr w:type="gramStart"/>
      <w:r w:rsidRPr="00AB4724">
        <w:rPr>
          <w:rFonts w:ascii="Times New Roman" w:eastAsia="Times New Roman" w:hAnsi="Times New Roman" w:cs="Times New Roman"/>
          <w:sz w:val="20"/>
          <w:szCs w:val="20"/>
          <w:lang w:eastAsia="fr-FR"/>
        </w:rPr>
        <w:t>tout</w:t>
      </w:r>
      <w:proofErr w:type="gramEnd"/>
      <w:r w:rsidRPr="00AB4724">
        <w:rPr>
          <w:rFonts w:ascii="Times New Roman" w:eastAsia="Times New Roman" w:hAnsi="Times New Roman" w:cs="Times New Roman"/>
          <w:sz w:val="20"/>
          <w:szCs w:val="20"/>
          <w:lang w:eastAsia="fr-FR"/>
        </w:rPr>
        <w:t xml:space="preserve"> le 74. SUBVENTIONS D’EXPLOITATION ET PARTICIPATIONS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744 - FCTVA</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747 – Fonds à engager</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748 - Autres subventions et participations</w:t>
      </w:r>
    </w:p>
    <w:p w:rsidR="00AB4724" w:rsidRPr="00AB4724" w:rsidRDefault="00AB4724" w:rsidP="00AB4724">
      <w:pPr>
        <w:spacing w:after="0" w:line="240" w:lineRule="auto"/>
        <w:ind w:left="1416"/>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7481 – Fonds pour l’emploi hospitalier</w:t>
      </w:r>
    </w:p>
    <w:p w:rsidR="00AB4724" w:rsidRPr="00AB4724" w:rsidRDefault="00AB4724" w:rsidP="00AB4724">
      <w:pPr>
        <w:spacing w:after="0" w:line="240" w:lineRule="auto"/>
        <w:ind w:left="1416"/>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7482 – Fonds d’intervention régional</w:t>
      </w:r>
    </w:p>
    <w:p w:rsidR="00AB4724" w:rsidRPr="00AB4724" w:rsidRDefault="00AB4724" w:rsidP="00AB4724">
      <w:pPr>
        <w:spacing w:after="0" w:line="240" w:lineRule="auto"/>
        <w:ind w:left="1416"/>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7483 – Forfait autonomie des résidences autonomie</w:t>
      </w:r>
    </w:p>
    <w:p w:rsidR="00AB4724" w:rsidRPr="00AB4724" w:rsidRDefault="00AB4724" w:rsidP="00AB4724">
      <w:pPr>
        <w:spacing w:after="0" w:line="240" w:lineRule="auto"/>
        <w:ind w:left="1416"/>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7484 - Aide forfaitaire à l</w:t>
      </w:r>
      <w:r>
        <w:rPr>
          <w:rFonts w:ascii="Times New Roman" w:eastAsia="Times New Roman" w:hAnsi="Times New Roman" w:cs="Times New Roman"/>
          <w:sz w:val="20"/>
          <w:szCs w:val="20"/>
          <w:lang w:eastAsia="fr-FR"/>
        </w:rPr>
        <w:t>’</w:t>
      </w:r>
      <w:r w:rsidRPr="00AB4724">
        <w:rPr>
          <w:rFonts w:ascii="Times New Roman" w:eastAsia="Times New Roman" w:hAnsi="Times New Roman" w:cs="Times New Roman"/>
          <w:sz w:val="20"/>
          <w:szCs w:val="20"/>
          <w:lang w:eastAsia="fr-FR"/>
        </w:rPr>
        <w:t>apprentissage</w:t>
      </w:r>
    </w:p>
    <w:p w:rsidR="00AB4724" w:rsidRPr="00AB4724" w:rsidRDefault="00AB4724" w:rsidP="00AB4724">
      <w:pPr>
        <w:spacing w:after="0" w:line="240" w:lineRule="auto"/>
        <w:ind w:left="1416"/>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7488 – Autres</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sz w:val="20"/>
          <w:szCs w:val="20"/>
          <w:lang w:eastAsia="fr-FR"/>
        </w:rPr>
        <w:lastRenderedPageBreak/>
        <w:t>Concours de l</w:t>
      </w:r>
      <w:r>
        <w:rPr>
          <w:rFonts w:ascii="Times New Roman" w:eastAsia="Times New Roman" w:hAnsi="Times New Roman" w:cs="Times New Roman"/>
          <w:b/>
          <w:bCs/>
          <w:sz w:val="20"/>
          <w:szCs w:val="20"/>
          <w:lang w:eastAsia="fr-FR"/>
        </w:rPr>
        <w:t>’</w:t>
      </w:r>
      <w:r w:rsidRPr="00AB4724">
        <w:rPr>
          <w:rFonts w:ascii="Times New Roman" w:eastAsia="Times New Roman" w:hAnsi="Times New Roman" w:cs="Times New Roman"/>
          <w:b/>
          <w:bCs/>
          <w:sz w:val="20"/>
          <w:szCs w:val="20"/>
          <w:lang w:eastAsia="fr-FR"/>
        </w:rPr>
        <w:t xml:space="preserve">Etat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732 - Produits à la charge de l’Etat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sz w:val="20"/>
          <w:szCs w:val="20"/>
          <w:lang w:eastAsia="fr-FR"/>
        </w:rPr>
        <w:t>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b/>
          <w:bCs/>
          <w:sz w:val="20"/>
          <w:szCs w:val="20"/>
          <w:lang w:eastAsia="fr-FR"/>
        </w:rPr>
        <w:t xml:space="preserve">Ventes de biens et services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 PRODUITS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701 - Vente de produits finis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702 - Ventes de produits intermédiaires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703 - Ventes de produits résiduels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706 - Prestations de services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707 - Ventes de marchandises</w:t>
      </w:r>
    </w:p>
    <w:p w:rsidR="00AB4724" w:rsidRPr="00AB4724" w:rsidRDefault="00AB4724" w:rsidP="00AB4724">
      <w:pPr>
        <w:spacing w:after="0" w:line="240" w:lineRule="auto"/>
        <w:ind w:left="708"/>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000000"/>
          <w:sz w:val="20"/>
          <w:szCs w:val="20"/>
          <w:lang w:eastAsia="fr-FR"/>
        </w:rPr>
        <w:t>708 - Produits des activités annexes</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xml:space="preserve"> + 734 - Produits à la charge de l’usager (hors EHPAD) </w:t>
      </w:r>
    </w:p>
    <w:p w:rsidR="00AB4724" w:rsidRPr="00AB4724" w:rsidRDefault="00AB4724" w:rsidP="00AB4724">
      <w:pPr>
        <w:spacing w:after="0" w:line="240" w:lineRule="auto"/>
        <w:rPr>
          <w:rFonts w:ascii="Times New Roman" w:eastAsia="Times New Roman" w:hAnsi="Times New Roman" w:cs="Times New Roman"/>
          <w:sz w:val="24"/>
          <w:szCs w:val="24"/>
          <w:lang w:eastAsia="fr-FR"/>
        </w:rPr>
      </w:pPr>
      <w:r w:rsidRPr="00AB4724">
        <w:rPr>
          <w:rFonts w:ascii="Times New Roman" w:eastAsia="Times New Roman" w:hAnsi="Times New Roman" w:cs="Times New Roman"/>
          <w:color w:val="FF0000"/>
          <w:sz w:val="20"/>
          <w:szCs w:val="20"/>
          <w:lang w:eastAsia="fr-FR"/>
        </w:rPr>
        <w:t>+ 7353 - Produits à la charge de l’usager</w:t>
      </w:r>
    </w:p>
    <w:p w:rsidR="00B9518C" w:rsidRDefault="00B9518C" w:rsidP="00AB4724">
      <w:pPr>
        <w:spacing w:after="0" w:line="240" w:lineRule="auto"/>
        <w:jc w:val="both"/>
      </w:pPr>
    </w:p>
    <w:p w:rsidR="00B9518C" w:rsidRDefault="00B9518C" w:rsidP="003D73A1">
      <w:pPr>
        <w:jc w:val="both"/>
      </w:pPr>
    </w:p>
    <w:p w:rsidR="003D73A1" w:rsidRPr="00AB4724" w:rsidRDefault="006F2B2F" w:rsidP="006F2B2F">
      <w:pPr>
        <w:rPr>
          <w:b/>
        </w:rPr>
      </w:pPr>
      <w:proofErr w:type="gramStart"/>
      <w:r>
        <w:rPr>
          <w:b/>
        </w:rPr>
        <w:t>3</w:t>
      </w:r>
      <w:r w:rsidR="00AB4724" w:rsidRPr="00AB4724">
        <w:rPr>
          <w:b/>
        </w:rPr>
        <w:t xml:space="preserve"> )</w:t>
      </w:r>
      <w:proofErr w:type="gramEnd"/>
      <w:r w:rsidR="00AB4724" w:rsidRPr="00AB4724">
        <w:rPr>
          <w:b/>
        </w:rPr>
        <w:t xml:space="preserve"> Les recettes d’investissement</w:t>
      </w:r>
      <w:r w:rsidR="00AB4724">
        <w:rPr>
          <w:b/>
        </w:rPr>
        <w:t> </w:t>
      </w:r>
      <w:r w:rsidR="00AB4724" w:rsidRPr="00AB4724">
        <w:rPr>
          <w:b/>
        </w:rPr>
        <w:t>: traitement du plan de relance FCTVA</w:t>
      </w:r>
      <w:r w:rsidR="003C0CA1">
        <w:rPr>
          <w:b/>
        </w:rPr>
        <w:t xml:space="preserve"> (compte 103)</w:t>
      </w:r>
    </w:p>
    <w:p w:rsidR="00AB4724" w:rsidRDefault="00AB4724" w:rsidP="009442E0">
      <w:pPr>
        <w:jc w:val="both"/>
      </w:pPr>
      <w:r>
        <w:t>En 2015, un nouveau compte apparaît pour les flux relatifs au plan de relance du FCTVA : le compte 103. C</w:t>
      </w:r>
      <w:r w:rsidR="003C0CA1">
        <w:t>e plan e</w:t>
      </w:r>
      <w:r>
        <w:t>st une avance à taux zéro auprès de la Caisse des dépôts</w:t>
      </w:r>
      <w:r w:rsidR="003C0CA1">
        <w:t xml:space="preserve"> dont ont pu bénéficier les collectivités, soumises au régime du FCTVA, pour leurs investissements de 2015</w:t>
      </w:r>
      <w:r>
        <w:t xml:space="preserve">. </w:t>
      </w:r>
      <w:r w:rsidR="009442E0">
        <w:t>Cette avance est inscrite au crédit du compt</w:t>
      </w:r>
      <w:r w:rsidR="003C0CA1">
        <w:t>e 103 « Plan de relance FCTVA »</w:t>
      </w:r>
      <w:r w:rsidR="009442E0">
        <w:t xml:space="preserve">. Son remboursement, fractionné sur deux ans, est constaté au débit du compte 103, de sorte que ce compte a vocation à être soldé à la fin de l’exercice 2018. La DGCL a choisi </w:t>
      </w:r>
      <w:r w:rsidR="003C0CA1">
        <w:t xml:space="preserve">en 2016 </w:t>
      </w:r>
      <w:r w:rsidR="009442E0">
        <w:t xml:space="preserve">d’intégrer ce plan de relance dans les recettes d’investissement en « crédit net », c'est-à-dire crédit moins débit. Les années de remboursement, ces recettes d’investissement sont donc négatives, ce qui explique parfois certaines valeurs négatives de la ligne « Autres recettes d’investissement ». La DGFIP a choisi au contraire de suivre d’une part les recettes et d’autre part les dépenses, comme on le fait à la DGCL pour les flux d’endettement (après tout il s’agit d’une sorte d’emprunt). Le choix de la DGFIP paraît à la réflexion </w:t>
      </w:r>
      <w:r w:rsidR="003C0CA1">
        <w:t xml:space="preserve">(en 2020) </w:t>
      </w:r>
      <w:r w:rsidR="009442E0">
        <w:t xml:space="preserve">plus logique et </w:t>
      </w:r>
      <w:r w:rsidR="00181A9A">
        <w:t xml:space="preserve">plus </w:t>
      </w:r>
      <w:r w:rsidR="009442E0">
        <w:t xml:space="preserve">en accord avec nos propres traitements des flux financiers, mais on ne rétropole pas nos données.   </w:t>
      </w:r>
    </w:p>
    <w:p w:rsidR="00181A9A" w:rsidRDefault="00181A9A"/>
    <w:p w:rsidR="00181A9A" w:rsidRPr="007F68BE" w:rsidRDefault="006F2B2F" w:rsidP="009442E0">
      <w:pPr>
        <w:jc w:val="both"/>
        <w:rPr>
          <w:b/>
        </w:rPr>
      </w:pPr>
      <w:proofErr w:type="gramStart"/>
      <w:r>
        <w:rPr>
          <w:b/>
        </w:rPr>
        <w:t>4</w:t>
      </w:r>
      <w:r w:rsidR="00181A9A" w:rsidRPr="007F68BE">
        <w:rPr>
          <w:b/>
        </w:rPr>
        <w:t> )</w:t>
      </w:r>
      <w:proofErr w:type="gramEnd"/>
      <w:r w:rsidR="00181A9A" w:rsidRPr="007F68BE">
        <w:rPr>
          <w:b/>
        </w:rPr>
        <w:t xml:space="preserve"> Les indemnités de présence des membres du CESER (conseil économique, social et environnement régional).</w:t>
      </w:r>
    </w:p>
    <w:p w:rsidR="00181A9A" w:rsidRDefault="00181A9A" w:rsidP="009442E0">
      <w:pPr>
        <w:jc w:val="both"/>
      </w:pPr>
      <w:r>
        <w:t>Chaque année, le D</w:t>
      </w:r>
      <w:r w:rsidR="001A5B4E">
        <w:t>E</w:t>
      </w:r>
      <w:r>
        <w:t>SL est sollicité pour répondre aux questions écrites ou aux questions parlementaires sur l’évaluation des indemnités des élus. Parmi ces indemnités, celles des membres du CESER</w:t>
      </w:r>
      <w:r w:rsidR="00166092">
        <w:t xml:space="preserve"> de la région PACA présentent un problème d’enregistrement dans les comptes de gestion.</w:t>
      </w:r>
    </w:p>
    <w:p w:rsidR="00166092" w:rsidRDefault="00166092" w:rsidP="009442E0">
      <w:pPr>
        <w:jc w:val="both"/>
      </w:pPr>
      <w:r>
        <w:t>En théorie, les indemnités de présence des membres du CESER sont enregistrées dans les comptes 6521 et 6522 (en M71). Les comptes 6522 sont réservés aux conseils des DOM. Les comptes 653 enregistrent les indemnités et assimilés (frais de déplacement, formation etc.) des élus régionaux. Ils n’incluent donc pas les indemnités des membres du CESER.</w:t>
      </w:r>
    </w:p>
    <w:p w:rsidR="00166092" w:rsidRDefault="00E37BFC" w:rsidP="009442E0">
      <w:pPr>
        <w:jc w:val="both"/>
      </w:pPr>
      <w:r>
        <w:t>- </w:t>
      </w:r>
      <w:r w:rsidR="00166092">
        <w:t>Jusqu’en 2018, la région PACA ne déclare aucun montant dans les indemnités des membres de son CESER (6521+6522). Elle affecte par ailleurs</w:t>
      </w:r>
      <w:r>
        <w:t xml:space="preserve"> une partie </w:t>
      </w:r>
      <w:r w:rsidR="00166092">
        <w:t>des indemnités des élus régionaux à la fonction 022 « CESER »</w:t>
      </w:r>
      <w:r>
        <w:t xml:space="preserve"> (environ 2,5 M€ sur un total de 8,5 M€)</w:t>
      </w:r>
      <w:r w:rsidR="00166092">
        <w:t xml:space="preserve">. Les autres régions affectent bien la fonction 022 aux </w:t>
      </w:r>
      <w:r>
        <w:t xml:space="preserve">seuls </w:t>
      </w:r>
      <w:r w:rsidR="00166092">
        <w:t>comptes 652.</w:t>
      </w:r>
    </w:p>
    <w:p w:rsidR="00166092" w:rsidRDefault="00166092" w:rsidP="009442E0">
      <w:pPr>
        <w:jc w:val="both"/>
      </w:pPr>
      <w:r>
        <w:t xml:space="preserve">Pour obtenir les indemnités de présence des membres du CESER de PACA </w:t>
      </w:r>
      <w:r w:rsidR="00E37BFC">
        <w:t xml:space="preserve">(2,5 M€) </w:t>
      </w:r>
      <w:r>
        <w:t>il faut donc prendre les dépenses du compte 653 ventilées dans la fonction 022</w:t>
      </w:r>
      <w:r w:rsidR="00E37BFC">
        <w:t xml:space="preserve">. </w:t>
      </w:r>
      <w:r>
        <w:t xml:space="preserve">Pour avoir les « vraies » </w:t>
      </w:r>
      <w:r>
        <w:lastRenderedPageBreak/>
        <w:t xml:space="preserve">indemnités des élus régionaux, il faut donc </w:t>
      </w:r>
      <w:r w:rsidR="00E37BFC">
        <w:t xml:space="preserve">par ailleurs </w:t>
      </w:r>
      <w:r>
        <w:t>soustraire ce montant au montant total des dépenses du compte 653</w:t>
      </w:r>
      <w:r w:rsidR="00E37BFC">
        <w:t xml:space="preserve"> (environ 6 M€)</w:t>
      </w:r>
      <w:r>
        <w:t>.</w:t>
      </w:r>
    </w:p>
    <w:p w:rsidR="00E37BFC" w:rsidRDefault="00E37BFC" w:rsidP="009442E0">
      <w:pPr>
        <w:jc w:val="both"/>
      </w:pPr>
      <w:r>
        <w:t>- En 2018, la région affecte un montant (0,6 M€) au compte 652, mais aussi un montant au compte 653 en fonction 022 (1,7 M€). La somme représente les 2,5 M€ (environ) habituels, et il faut en 2018 encore, ajouter les montants ventilés en fonction 022 pour obtenir le montant total des indemnités des membres du CESER.</w:t>
      </w:r>
    </w:p>
    <w:p w:rsidR="00E37BFC" w:rsidRDefault="00E37BFC" w:rsidP="009442E0">
      <w:pPr>
        <w:jc w:val="both"/>
      </w:pPr>
      <w:r>
        <w:t>- En 2019 la situation est apurée par la DGFIP et PACA se traite désormais comme les autres régions.</w:t>
      </w:r>
    </w:p>
    <w:p w:rsidR="00166092" w:rsidRDefault="00166092" w:rsidP="009442E0">
      <w:pPr>
        <w:jc w:val="both"/>
      </w:pPr>
    </w:p>
    <w:sectPr w:rsidR="00166092" w:rsidSect="003D73A1">
      <w:pgSz w:w="11907" w:h="16840"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2C" w:rsidRDefault="00060B2C" w:rsidP="001D4315">
      <w:pPr>
        <w:spacing w:after="0" w:line="240" w:lineRule="auto"/>
      </w:pPr>
      <w:r>
        <w:separator/>
      </w:r>
    </w:p>
  </w:endnote>
  <w:endnote w:type="continuationSeparator" w:id="0">
    <w:p w:rsidR="00060B2C" w:rsidRDefault="00060B2C" w:rsidP="001D43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Pro-Medium">
    <w:altName w:val="Times New Roman"/>
    <w:panose1 w:val="00000000000000000000"/>
    <w:charset w:val="4D"/>
    <w:family w:val="auto"/>
    <w:notTrueType/>
    <w:pitch w:val="default"/>
    <w:sig w:usb0="03000000" w:usb1="00000000" w:usb2="00000000" w:usb3="00000000" w:csb0="00000001" w:csb1="00000000"/>
  </w:font>
  <w:font w:name="StoneSerif">
    <w:altName w:val="Times New Roman"/>
    <w:panose1 w:val="00000000000000000000"/>
    <w:charset w:val="4D"/>
    <w:family w:val="auto"/>
    <w:notTrueType/>
    <w:pitch w:val="default"/>
    <w:sig w:usb0="03000000" w:usb1="00000000" w:usb2="00000000" w:usb3="00000000" w:csb0="00000001" w:csb1="00000000"/>
  </w:font>
  <w:font w:name="StoneSans-Bold">
    <w:altName w:val="Times New Roman"/>
    <w:panose1 w:val="00000000000000000000"/>
    <w:charset w:val="4D"/>
    <w:family w:val="auto"/>
    <w:notTrueType/>
    <w:pitch w:val="default"/>
    <w:sig w:usb0="03000000" w:usb1="00000000" w:usb2="00000000" w:usb3="00000000" w:csb0="00000001" w:csb1="00000000"/>
  </w:font>
  <w:font w:name="StoneSerif-Italic">
    <w:altName w:val="Times New Roman"/>
    <w:panose1 w:val="00000000000000000000"/>
    <w:charset w:val="4D"/>
    <w:family w:val="auto"/>
    <w:notTrueType/>
    <w:pitch w:val="default"/>
    <w:sig w:usb0="03000000" w:usb1="00000000" w:usb2="00000000" w:usb3="00000000" w:csb0="00000001" w:csb1="00000000"/>
  </w:font>
  <w:font w:name="StoneSans">
    <w:altName w:val="Times New Roman"/>
    <w:panose1 w:val="00000000000000000000"/>
    <w:charset w:val="4D"/>
    <w:family w:val="auto"/>
    <w:notTrueType/>
    <w:pitch w:val="default"/>
    <w:sig w:usb0="03000000" w:usb1="00000000" w:usb2="00000000" w:usb3="00000000" w:csb0="00000001" w:csb1="00000000"/>
  </w:font>
  <w:font w:name="StoneSans-Semibold">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Arabic">
    <w:altName w:val="Times New Roman"/>
    <w:charset w:val="00"/>
    <w:family w:val="auto"/>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84247"/>
      <w:docPartObj>
        <w:docPartGallery w:val="Page Numbers (Bottom of Page)"/>
        <w:docPartUnique/>
      </w:docPartObj>
    </w:sdtPr>
    <w:sdtContent>
      <w:p w:rsidR="00060B2C" w:rsidRDefault="005F62DE">
        <w:pPr>
          <w:pStyle w:val="Pieddepage"/>
          <w:jc w:val="right"/>
        </w:pPr>
        <w:fldSimple w:instr=" PAGE   \* MERGEFORMAT ">
          <w:r w:rsidR="00B02F83">
            <w:rPr>
              <w:noProof/>
            </w:rPr>
            <w:t>1</w:t>
          </w:r>
        </w:fldSimple>
      </w:p>
    </w:sdtContent>
  </w:sdt>
  <w:p w:rsidR="00060B2C" w:rsidRDefault="00060B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2C" w:rsidRDefault="00060B2C" w:rsidP="001D4315">
      <w:pPr>
        <w:spacing w:after="0" w:line="240" w:lineRule="auto"/>
      </w:pPr>
      <w:r>
        <w:separator/>
      </w:r>
    </w:p>
  </w:footnote>
  <w:footnote w:type="continuationSeparator" w:id="0">
    <w:p w:rsidR="00060B2C" w:rsidRDefault="00060B2C" w:rsidP="001D4315">
      <w:pPr>
        <w:spacing w:after="0" w:line="240" w:lineRule="auto"/>
      </w:pPr>
      <w:r>
        <w:continuationSeparator/>
      </w:r>
    </w:p>
  </w:footnote>
  <w:footnote w:id="1">
    <w:p w:rsidR="00060B2C" w:rsidRDefault="00060B2C">
      <w:pPr>
        <w:pStyle w:val="Notedebasdepage"/>
      </w:pPr>
      <w:r>
        <w:rPr>
          <w:rStyle w:val="Appelnotedebasdep"/>
        </w:rPr>
        <w:footnoteRef/>
      </w:r>
      <w:r>
        <w:t xml:space="preserve"> Pour les communes et leurs groupements par exemple : </w:t>
      </w:r>
      <w:hyperlink r:id="rId1" w:history="1">
        <w:r w:rsidRPr="00A72293">
          <w:rPr>
            <w:rStyle w:val="Lienhypertexte"/>
          </w:rPr>
          <w:t>https://www.impots.gouv.fr/cll/zf1/accueil/flux.ex;jsessionid=F3678E6C0EF572562AEB32F4720ABF9C?_flowId=accueilcclloc-flow</w:t>
        </w:r>
      </w:hyperlink>
      <w:r>
        <w:t xml:space="preserve"> </w:t>
      </w:r>
    </w:p>
    <w:p w:rsidR="00060B2C" w:rsidRDefault="00060B2C">
      <w:pPr>
        <w:pStyle w:val="Notedebasdepage"/>
      </w:pPr>
      <w:r>
        <w:t xml:space="preserve">Les bases de données complètes, comptables </w:t>
      </w:r>
      <w:r w:rsidRPr="00BE101D">
        <w:rPr>
          <w:u w:val="single"/>
        </w:rPr>
        <w:t>et fiscales</w:t>
      </w:r>
      <w:r>
        <w:t>, et incluant des données de références, comme des moyennes de strates, sont diffusées en open data par le SSM de la DGFIP :</w:t>
      </w:r>
    </w:p>
    <w:p w:rsidR="00060B2C" w:rsidRDefault="005F62DE">
      <w:pPr>
        <w:pStyle w:val="Notedebasdepage"/>
      </w:pPr>
      <w:hyperlink r:id="rId2" w:history="1">
        <w:r w:rsidR="00060B2C">
          <w:rPr>
            <w:rStyle w:val="Lienhypertexte"/>
          </w:rPr>
          <w:t>https://data.economie.gouv.fr/explore/?q=comptes+individuels&amp;sort=modified</w:t>
        </w:r>
      </w:hyperlink>
      <w:r w:rsidR="00060B2C">
        <w:t xml:space="preserve"> </w:t>
      </w:r>
    </w:p>
  </w:footnote>
  <w:footnote w:id="2">
    <w:p w:rsidR="00060B2C" w:rsidRDefault="00060B2C" w:rsidP="0038250E">
      <w:pPr>
        <w:pStyle w:val="Notedebasdepage"/>
        <w:jc w:val="both"/>
      </w:pPr>
      <w:r>
        <w:rPr>
          <w:rStyle w:val="Appelnotedebasdep"/>
        </w:rPr>
        <w:footnoteRef/>
      </w:r>
      <w:r>
        <w:t xml:space="preserve"> Le secteur Valorisation du bureau CL2A.</w:t>
      </w:r>
    </w:p>
  </w:footnote>
  <w:footnote w:id="3">
    <w:p w:rsidR="00060B2C" w:rsidRDefault="00060B2C">
      <w:pPr>
        <w:pStyle w:val="Notedebasdepage"/>
      </w:pPr>
      <w:r>
        <w:rPr>
          <w:rStyle w:val="Appelnotedebasdep"/>
        </w:rPr>
        <w:footnoteRef/>
      </w:r>
      <w:r>
        <w:t xml:space="preserve"> </w:t>
      </w:r>
      <w:hyperlink r:id="rId3" w:history="1">
        <w:r>
          <w:rPr>
            <w:rStyle w:val="Lienhypertexte"/>
          </w:rPr>
          <w:t>https://www.data.gouv.fr/fr/datasets/balances-comptables-des-communes/</w:t>
        </w:r>
      </w:hyperlink>
      <w:r>
        <w:t xml:space="preserve"> et</w:t>
      </w:r>
    </w:p>
    <w:p w:rsidR="00060B2C" w:rsidRDefault="005F62DE">
      <w:pPr>
        <w:pStyle w:val="Notedebasdepage"/>
      </w:pPr>
      <w:hyperlink r:id="rId4" w:history="1">
        <w:r w:rsidR="00060B2C" w:rsidRPr="00F8477F">
          <w:rPr>
            <w:rStyle w:val="Lienhypertexte"/>
          </w:rPr>
          <w:t>https://www.data.gouv.fr/fr/datasets/donnees-comptables-et-fiscales-des-collectivites-locales/</w:t>
        </w:r>
      </w:hyperlink>
      <w:r w:rsidR="00060B2C">
        <w:t xml:space="preserve"> </w:t>
      </w:r>
    </w:p>
  </w:footnote>
  <w:footnote w:id="4">
    <w:p w:rsidR="00060B2C" w:rsidRDefault="00060B2C" w:rsidP="00377B63">
      <w:pPr>
        <w:pStyle w:val="Notedebasdepage"/>
        <w:jc w:val="both"/>
      </w:pPr>
      <w:r>
        <w:rPr>
          <w:rStyle w:val="Appelnotedebasdep"/>
        </w:rPr>
        <w:footnoteRef/>
      </w:r>
      <w:r>
        <w:t xml:space="preserve"> Voir le site conjoint DGCL-</w:t>
      </w:r>
      <w:proofErr w:type="spellStart"/>
      <w:r>
        <w:t>DGFiP</w:t>
      </w:r>
      <w:proofErr w:type="spellEnd"/>
      <w:r>
        <w:t xml:space="preserve"> pour la mise à disposition de toutes les instructions budgétaires et comptables : </w:t>
      </w:r>
      <w:hyperlink r:id="rId5" w:history="1">
        <w:r w:rsidRPr="004341E1">
          <w:rPr>
            <w:rStyle w:val="Lienhypertexte"/>
          </w:rPr>
          <w:t>http://www.collectivites-locales.gouv.fr/instructions-budgetaires-et-comptables</w:t>
        </w:r>
      </w:hyperlink>
      <w:r>
        <w:t xml:space="preserve"> </w:t>
      </w:r>
    </w:p>
  </w:footnote>
  <w:footnote w:id="5">
    <w:p w:rsidR="00060B2C" w:rsidRDefault="00060B2C" w:rsidP="002F23D5">
      <w:pPr>
        <w:pStyle w:val="Notedebasdepage"/>
        <w:jc w:val="both"/>
      </w:pPr>
      <w:r>
        <w:rPr>
          <w:rStyle w:val="Appelnotedebasdep"/>
        </w:rPr>
        <w:footnoteRef/>
      </w:r>
      <w:r>
        <w:t xml:space="preserve"> Bulletin d’information statistique (BIS) n°120 de la DGCL, novembre 2017.</w:t>
      </w:r>
    </w:p>
  </w:footnote>
  <w:footnote w:id="6">
    <w:p w:rsidR="00060B2C" w:rsidRDefault="00060B2C" w:rsidP="002F23D5">
      <w:pPr>
        <w:pStyle w:val="Notedebasdepage"/>
        <w:jc w:val="both"/>
      </w:pPr>
      <w:r>
        <w:rPr>
          <w:rStyle w:val="Appelnotedebasdep"/>
        </w:rPr>
        <w:footnoteRef/>
      </w:r>
      <w:r>
        <w:t xml:space="preserve"> L’utilisation du débit net revient à transférer les éventuels crédits en moindres dépenses (atténuations de charges). Idem pour les crédits nets (atténuations de produits). C’est une source de confusion possible avec la présentation des comptes administratifs des collectivités, qui considèrent les atténuations de charges comme des dépenses (et les atténuations de produits comme des recettes).</w:t>
      </w:r>
    </w:p>
  </w:footnote>
  <w:footnote w:id="7">
    <w:p w:rsidR="00060B2C" w:rsidRDefault="00060B2C" w:rsidP="008A1257">
      <w:pPr>
        <w:pStyle w:val="Notedebasdepage"/>
        <w:jc w:val="both"/>
      </w:pPr>
      <w:r>
        <w:rPr>
          <w:rStyle w:val="Appelnotedebasdep"/>
        </w:rPr>
        <w:footnoteRef/>
      </w:r>
      <w:r>
        <w:t xml:space="preserve"> </w:t>
      </w:r>
      <w:r w:rsidRPr="00046786">
        <w:t xml:space="preserve">Des appels aux notes de bas de tableau indiquent ces restrictions de champs géographiques, et le texte de présentation des tableaux justifie en détail cette décision. </w:t>
      </w:r>
    </w:p>
  </w:footnote>
  <w:footnote w:id="8">
    <w:p w:rsidR="0077024A" w:rsidRDefault="0077024A" w:rsidP="0077024A">
      <w:pPr>
        <w:pStyle w:val="Notedebasdepage"/>
      </w:pPr>
      <w:r>
        <w:rPr>
          <w:rStyle w:val="Appelnotedebasdep"/>
        </w:rPr>
        <w:footnoteRef/>
      </w:r>
      <w:r>
        <w:t xml:space="preserve"> </w:t>
      </w:r>
      <w:hyperlink r:id="rId6" w:history="1">
        <w:r w:rsidRPr="00A72293">
          <w:rPr>
            <w:rStyle w:val="Lienhypertexte"/>
          </w:rPr>
          <w:t>https://www.collectivites-locales.gouv.fr/etudes-et-statistiques-locales</w:t>
        </w:r>
      </w:hyperlink>
      <w:r>
        <w:t xml:space="preserve"> </w:t>
      </w:r>
    </w:p>
  </w:footnote>
  <w:footnote w:id="9">
    <w:p w:rsidR="00060B2C" w:rsidRDefault="00060B2C">
      <w:pPr>
        <w:pStyle w:val="Notedebasdepage"/>
      </w:pPr>
      <w:r>
        <w:rPr>
          <w:rStyle w:val="Appelnotedebasdep"/>
        </w:rPr>
        <w:footnoteRef/>
      </w:r>
      <w:r>
        <w:t xml:space="preserve"> Par exemple </w:t>
      </w:r>
      <w:proofErr w:type="gramStart"/>
      <w:r>
        <w:t xml:space="preserve">: </w:t>
      </w:r>
      <w:r w:rsidRPr="00046786">
        <w:t xml:space="preserve"> </w:t>
      </w:r>
      <w:proofErr w:type="gramEnd"/>
      <w:hyperlink r:id="rId7" w:history="1">
        <w:r w:rsidRPr="005202B8">
          <w:rPr>
            <w:rStyle w:val="Lienhypertexte"/>
          </w:rPr>
          <w:t>https://www.collectivites-locales.gouv.fr/tableaux-finances-des-departements-2015</w:t>
        </w:r>
      </w:hyperlink>
      <w:r>
        <w:t xml:space="preserve"> </w:t>
      </w:r>
    </w:p>
  </w:footnote>
  <w:footnote w:id="10">
    <w:p w:rsidR="00060B2C" w:rsidRDefault="00060B2C">
      <w:pPr>
        <w:pStyle w:val="Notedebasdepage"/>
      </w:pPr>
      <w:r>
        <w:rPr>
          <w:rStyle w:val="Appelnotedebasdep"/>
        </w:rPr>
        <w:footnoteRef/>
      </w:r>
      <w:r>
        <w:t xml:space="preserve"> Par exemple : </w:t>
      </w:r>
      <w:hyperlink r:id="rId8" w:history="1">
        <w:r w:rsidRPr="00F8477F">
          <w:rPr>
            <w:rStyle w:val="Lienhypertexte"/>
          </w:rPr>
          <w:t>https://www.impots.gouv.fr/cll/zf1/accueil/flux.ex?_flowId=accueilcclloc-flow</w:t>
        </w:r>
      </w:hyperlink>
      <w:r>
        <w:t xml:space="preserve"> </w:t>
      </w:r>
    </w:p>
  </w:footnote>
  <w:footnote w:id="11">
    <w:p w:rsidR="00060B2C" w:rsidRDefault="00060B2C">
      <w:pPr>
        <w:pStyle w:val="Notedebasdepage"/>
      </w:pPr>
      <w:r>
        <w:rPr>
          <w:rStyle w:val="Appelnotedebasdep"/>
        </w:rPr>
        <w:footnoteRef/>
      </w:r>
      <w:r>
        <w:t xml:space="preserve"> </w:t>
      </w:r>
      <w:hyperlink r:id="rId9" w:history="1">
        <w:r>
          <w:rPr>
            <w:rStyle w:val="Lienhypertexte"/>
          </w:rPr>
          <w:t>https://www.data.gouv.fr/fr/datasets/donnees-comptables-et-fiscales-des-collectivites-locales/</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2C" w:rsidRPr="009530AA" w:rsidRDefault="00060B2C" w:rsidP="009530AA">
    <w:pPr>
      <w:pStyle w:val="En-tte"/>
      <w:jc w:val="right"/>
      <w:rPr>
        <w:i/>
        <w:sz w:val="18"/>
      </w:rPr>
    </w:pPr>
    <w:r w:rsidRPr="009530AA">
      <w:rPr>
        <w:i/>
        <w:sz w:val="18"/>
      </w:rPr>
      <w:t xml:space="preserve">Version du </w:t>
    </w:r>
    <w:r w:rsidR="00B02F83">
      <w:rPr>
        <w:i/>
        <w:sz w:val="18"/>
      </w:rPr>
      <w:t>25</w:t>
    </w:r>
    <w:r w:rsidRPr="009530AA">
      <w:rPr>
        <w:i/>
        <w:sz w:val="18"/>
      </w:rPr>
      <w:t>/</w:t>
    </w:r>
    <w:r>
      <w:rPr>
        <w:i/>
        <w:sz w:val="18"/>
      </w:rPr>
      <w:t>0</w:t>
    </w:r>
    <w:r w:rsidR="00B02F83">
      <w:rPr>
        <w:i/>
        <w:sz w:val="18"/>
      </w:rPr>
      <w:t>2</w:t>
    </w:r>
    <w:r w:rsidRPr="009530AA">
      <w:rPr>
        <w:i/>
        <w:sz w:val="18"/>
      </w:rPr>
      <w:t>/20</w:t>
    </w:r>
    <w:r>
      <w:rPr>
        <w:i/>
        <w:sz w:val="18"/>
      </w:rPr>
      <w:t>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F129A"/>
    <w:rsid w:val="00030DAF"/>
    <w:rsid w:val="00046786"/>
    <w:rsid w:val="00060B2C"/>
    <w:rsid w:val="00062B1E"/>
    <w:rsid w:val="000679FB"/>
    <w:rsid w:val="00077894"/>
    <w:rsid w:val="00080144"/>
    <w:rsid w:val="00084B08"/>
    <w:rsid w:val="000B755E"/>
    <w:rsid w:val="000C0EA0"/>
    <w:rsid w:val="000C6A44"/>
    <w:rsid w:val="000D2AB8"/>
    <w:rsid w:val="000D341A"/>
    <w:rsid w:val="00113447"/>
    <w:rsid w:val="00115EB3"/>
    <w:rsid w:val="00166092"/>
    <w:rsid w:val="00181A9A"/>
    <w:rsid w:val="001A5B4E"/>
    <w:rsid w:val="001B1C44"/>
    <w:rsid w:val="001C396F"/>
    <w:rsid w:val="001C7A73"/>
    <w:rsid w:val="001D4315"/>
    <w:rsid w:val="00206AFA"/>
    <w:rsid w:val="002162AD"/>
    <w:rsid w:val="00226052"/>
    <w:rsid w:val="002803FB"/>
    <w:rsid w:val="00287ED0"/>
    <w:rsid w:val="00294927"/>
    <w:rsid w:val="002C4D9D"/>
    <w:rsid w:val="002E7070"/>
    <w:rsid w:val="002F23D5"/>
    <w:rsid w:val="00310C23"/>
    <w:rsid w:val="00327C4F"/>
    <w:rsid w:val="00344DA3"/>
    <w:rsid w:val="00355D74"/>
    <w:rsid w:val="00362CEF"/>
    <w:rsid w:val="00367EFE"/>
    <w:rsid w:val="00375BF1"/>
    <w:rsid w:val="00377B63"/>
    <w:rsid w:val="0038250E"/>
    <w:rsid w:val="00396FF8"/>
    <w:rsid w:val="003A59DE"/>
    <w:rsid w:val="003B3793"/>
    <w:rsid w:val="003B6746"/>
    <w:rsid w:val="003C0CA1"/>
    <w:rsid w:val="003D399D"/>
    <w:rsid w:val="003D73A1"/>
    <w:rsid w:val="00421265"/>
    <w:rsid w:val="00424D6C"/>
    <w:rsid w:val="004335BC"/>
    <w:rsid w:val="00457ACA"/>
    <w:rsid w:val="00463933"/>
    <w:rsid w:val="00491B74"/>
    <w:rsid w:val="004A7CB4"/>
    <w:rsid w:val="004C5563"/>
    <w:rsid w:val="004C67E0"/>
    <w:rsid w:val="004E22E0"/>
    <w:rsid w:val="004F129A"/>
    <w:rsid w:val="004F79C9"/>
    <w:rsid w:val="0050032C"/>
    <w:rsid w:val="005158B9"/>
    <w:rsid w:val="00526975"/>
    <w:rsid w:val="0053716A"/>
    <w:rsid w:val="00544432"/>
    <w:rsid w:val="00572B29"/>
    <w:rsid w:val="00590B26"/>
    <w:rsid w:val="005969F5"/>
    <w:rsid w:val="005D0AE1"/>
    <w:rsid w:val="005D6B10"/>
    <w:rsid w:val="005F62DE"/>
    <w:rsid w:val="005F74A5"/>
    <w:rsid w:val="00657FE7"/>
    <w:rsid w:val="00663D1C"/>
    <w:rsid w:val="00665FDE"/>
    <w:rsid w:val="006808FD"/>
    <w:rsid w:val="006B602A"/>
    <w:rsid w:val="006F0ABB"/>
    <w:rsid w:val="006F2B2F"/>
    <w:rsid w:val="007035FA"/>
    <w:rsid w:val="0070613F"/>
    <w:rsid w:val="00707087"/>
    <w:rsid w:val="007119A5"/>
    <w:rsid w:val="00715FB8"/>
    <w:rsid w:val="007208D1"/>
    <w:rsid w:val="00736D51"/>
    <w:rsid w:val="00766E4B"/>
    <w:rsid w:val="0077024A"/>
    <w:rsid w:val="00773025"/>
    <w:rsid w:val="00790FA9"/>
    <w:rsid w:val="007A1504"/>
    <w:rsid w:val="007A2BDA"/>
    <w:rsid w:val="007C1ACF"/>
    <w:rsid w:val="007C4702"/>
    <w:rsid w:val="007C6D44"/>
    <w:rsid w:val="007D44CA"/>
    <w:rsid w:val="007D5FC5"/>
    <w:rsid w:val="007E5F50"/>
    <w:rsid w:val="007E6418"/>
    <w:rsid w:val="007F68BE"/>
    <w:rsid w:val="008024C7"/>
    <w:rsid w:val="008478F6"/>
    <w:rsid w:val="00867D4A"/>
    <w:rsid w:val="008843A1"/>
    <w:rsid w:val="00886E0F"/>
    <w:rsid w:val="00896BF1"/>
    <w:rsid w:val="008A1257"/>
    <w:rsid w:val="008B6ED1"/>
    <w:rsid w:val="008D04EB"/>
    <w:rsid w:val="008D34A9"/>
    <w:rsid w:val="008F5C7B"/>
    <w:rsid w:val="00916138"/>
    <w:rsid w:val="00917EBF"/>
    <w:rsid w:val="009442E0"/>
    <w:rsid w:val="009530AA"/>
    <w:rsid w:val="00964718"/>
    <w:rsid w:val="00976450"/>
    <w:rsid w:val="009A2C72"/>
    <w:rsid w:val="009D0938"/>
    <w:rsid w:val="009E3BF5"/>
    <w:rsid w:val="009F5328"/>
    <w:rsid w:val="009F6934"/>
    <w:rsid w:val="00A01004"/>
    <w:rsid w:val="00A06EFB"/>
    <w:rsid w:val="00A30211"/>
    <w:rsid w:val="00A40A4F"/>
    <w:rsid w:val="00A757EC"/>
    <w:rsid w:val="00A768B4"/>
    <w:rsid w:val="00A91465"/>
    <w:rsid w:val="00A92832"/>
    <w:rsid w:val="00A92CC9"/>
    <w:rsid w:val="00AB4724"/>
    <w:rsid w:val="00AE0146"/>
    <w:rsid w:val="00B01D27"/>
    <w:rsid w:val="00B02F83"/>
    <w:rsid w:val="00B21CE3"/>
    <w:rsid w:val="00B23FE6"/>
    <w:rsid w:val="00B67F9E"/>
    <w:rsid w:val="00B8092E"/>
    <w:rsid w:val="00B9518C"/>
    <w:rsid w:val="00BA23C1"/>
    <w:rsid w:val="00BA6AC0"/>
    <w:rsid w:val="00BD5487"/>
    <w:rsid w:val="00BE101D"/>
    <w:rsid w:val="00BE708E"/>
    <w:rsid w:val="00BF7F0F"/>
    <w:rsid w:val="00C525FA"/>
    <w:rsid w:val="00C604F8"/>
    <w:rsid w:val="00C61CC9"/>
    <w:rsid w:val="00C80340"/>
    <w:rsid w:val="00C84933"/>
    <w:rsid w:val="00C87FBD"/>
    <w:rsid w:val="00C95BFE"/>
    <w:rsid w:val="00C95C47"/>
    <w:rsid w:val="00CF069C"/>
    <w:rsid w:val="00CF3C44"/>
    <w:rsid w:val="00CF7A5B"/>
    <w:rsid w:val="00D10EF9"/>
    <w:rsid w:val="00D24559"/>
    <w:rsid w:val="00D43C0E"/>
    <w:rsid w:val="00D5356E"/>
    <w:rsid w:val="00D67608"/>
    <w:rsid w:val="00D7456C"/>
    <w:rsid w:val="00D913A1"/>
    <w:rsid w:val="00D92FB1"/>
    <w:rsid w:val="00D93358"/>
    <w:rsid w:val="00D954A3"/>
    <w:rsid w:val="00D95947"/>
    <w:rsid w:val="00DA67BA"/>
    <w:rsid w:val="00DA757D"/>
    <w:rsid w:val="00DB0711"/>
    <w:rsid w:val="00DB1203"/>
    <w:rsid w:val="00DB27B4"/>
    <w:rsid w:val="00DC3582"/>
    <w:rsid w:val="00DD37D1"/>
    <w:rsid w:val="00DD4F64"/>
    <w:rsid w:val="00DE6171"/>
    <w:rsid w:val="00E27617"/>
    <w:rsid w:val="00E30A90"/>
    <w:rsid w:val="00E35D2A"/>
    <w:rsid w:val="00E37BFC"/>
    <w:rsid w:val="00EA1F90"/>
    <w:rsid w:val="00EF379B"/>
    <w:rsid w:val="00F02386"/>
    <w:rsid w:val="00F05B26"/>
    <w:rsid w:val="00F13055"/>
    <w:rsid w:val="00F50F41"/>
    <w:rsid w:val="00F77389"/>
    <w:rsid w:val="00F805F8"/>
    <w:rsid w:val="00FB00F9"/>
    <w:rsid w:val="00FB425A"/>
    <w:rsid w:val="00FE72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8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4315"/>
    <w:pPr>
      <w:tabs>
        <w:tab w:val="center" w:pos="4536"/>
        <w:tab w:val="right" w:pos="9072"/>
      </w:tabs>
      <w:spacing w:after="0" w:line="240" w:lineRule="auto"/>
    </w:pPr>
  </w:style>
  <w:style w:type="character" w:customStyle="1" w:styleId="En-tteCar">
    <w:name w:val="En-tête Car"/>
    <w:basedOn w:val="Policepardfaut"/>
    <w:link w:val="En-tte"/>
    <w:uiPriority w:val="99"/>
    <w:rsid w:val="001D4315"/>
  </w:style>
  <w:style w:type="paragraph" w:styleId="Pieddepage">
    <w:name w:val="footer"/>
    <w:basedOn w:val="Normal"/>
    <w:link w:val="PieddepageCar"/>
    <w:uiPriority w:val="99"/>
    <w:unhideWhenUsed/>
    <w:rsid w:val="001D43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315"/>
  </w:style>
  <w:style w:type="paragraph" w:styleId="Notedebasdepage">
    <w:name w:val="footnote text"/>
    <w:basedOn w:val="Normal"/>
    <w:link w:val="NotedebasdepageCar"/>
    <w:uiPriority w:val="99"/>
    <w:semiHidden/>
    <w:unhideWhenUsed/>
    <w:rsid w:val="00E35D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5D2A"/>
    <w:rPr>
      <w:sz w:val="20"/>
      <w:szCs w:val="20"/>
    </w:rPr>
  </w:style>
  <w:style w:type="character" w:styleId="Appelnotedebasdep">
    <w:name w:val="footnote reference"/>
    <w:basedOn w:val="Policepardfaut"/>
    <w:uiPriority w:val="99"/>
    <w:semiHidden/>
    <w:unhideWhenUsed/>
    <w:rsid w:val="00E35D2A"/>
    <w:rPr>
      <w:vertAlign w:val="superscript"/>
    </w:rPr>
  </w:style>
  <w:style w:type="character" w:styleId="Lienhypertexte">
    <w:name w:val="Hyperlink"/>
    <w:basedOn w:val="Policepardfaut"/>
    <w:uiPriority w:val="99"/>
    <w:unhideWhenUsed/>
    <w:rsid w:val="007D5FC5"/>
    <w:rPr>
      <w:color w:val="0000FF" w:themeColor="hyperlink"/>
      <w:u w:val="single"/>
    </w:rPr>
  </w:style>
  <w:style w:type="paragraph" w:styleId="Textedebulles">
    <w:name w:val="Balloon Text"/>
    <w:basedOn w:val="Normal"/>
    <w:link w:val="TextedebullesCar"/>
    <w:uiPriority w:val="99"/>
    <w:semiHidden/>
    <w:unhideWhenUsed/>
    <w:rsid w:val="00D959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947"/>
    <w:rPr>
      <w:rFonts w:ascii="Tahoma" w:hAnsi="Tahoma" w:cs="Tahoma"/>
      <w:sz w:val="16"/>
      <w:szCs w:val="16"/>
    </w:rPr>
  </w:style>
  <w:style w:type="character" w:styleId="Lienhypertextesuivivisit">
    <w:name w:val="FollowedHyperlink"/>
    <w:basedOn w:val="Policepardfaut"/>
    <w:uiPriority w:val="99"/>
    <w:semiHidden/>
    <w:unhideWhenUsed/>
    <w:rsid w:val="00D954A3"/>
    <w:rPr>
      <w:color w:val="800080" w:themeColor="followedHyperlink"/>
      <w:u w:val="single"/>
    </w:rPr>
  </w:style>
  <w:style w:type="paragraph" w:customStyle="1" w:styleId="Aucunstyle">
    <w:name w:val="[Aucun style]"/>
    <w:rsid w:val="002803FB"/>
    <w:pPr>
      <w:widowControl w:val="0"/>
      <w:autoSpaceDE w:val="0"/>
      <w:autoSpaceDN w:val="0"/>
      <w:adjustRightInd w:val="0"/>
      <w:spacing w:after="0" w:line="288" w:lineRule="auto"/>
      <w:jc w:val="right"/>
      <w:textAlignment w:val="center"/>
    </w:pPr>
    <w:rPr>
      <w:rFonts w:ascii="WinSoftPro-Medium" w:eastAsia="Times New Roman" w:hAnsi="WinSoftPro-Medium" w:cs="WinSoftPro-Medium"/>
      <w:color w:val="000000"/>
      <w:sz w:val="24"/>
      <w:szCs w:val="24"/>
      <w:lang w:eastAsia="fr-FR" w:bidi="ar-YE"/>
    </w:rPr>
  </w:style>
  <w:style w:type="paragraph" w:customStyle="1" w:styleId="17Texteann">
    <w:name w:val="17. Texte ann"/>
    <w:basedOn w:val="Normal"/>
    <w:uiPriority w:val="99"/>
    <w:rsid w:val="002803FB"/>
    <w:pPr>
      <w:widowControl w:val="0"/>
      <w:autoSpaceDE w:val="0"/>
      <w:autoSpaceDN w:val="0"/>
      <w:adjustRightInd w:val="0"/>
      <w:spacing w:after="0" w:line="205" w:lineRule="atLeast"/>
      <w:ind w:left="1701"/>
      <w:jc w:val="both"/>
      <w:textAlignment w:val="center"/>
    </w:pPr>
    <w:rPr>
      <w:rFonts w:ascii="StoneSerif" w:eastAsia="Times New Roman" w:hAnsi="StoneSerif" w:cs="StoneSerif"/>
      <w:color w:val="000000"/>
      <w:spacing w:val="-1"/>
      <w:sz w:val="17"/>
      <w:szCs w:val="17"/>
      <w:lang w:eastAsia="fr-FR"/>
    </w:rPr>
  </w:style>
  <w:style w:type="paragraph" w:customStyle="1" w:styleId="16aInterannsans">
    <w:name w:val="16a. Inter ann sans"/>
    <w:basedOn w:val="Normal"/>
    <w:uiPriority w:val="99"/>
    <w:rsid w:val="002803FB"/>
    <w:pPr>
      <w:keepNext/>
      <w:keepLines/>
      <w:widowControl w:val="0"/>
      <w:suppressAutoHyphens/>
      <w:autoSpaceDE w:val="0"/>
      <w:autoSpaceDN w:val="0"/>
      <w:adjustRightInd w:val="0"/>
      <w:spacing w:before="228" w:after="0" w:line="228" w:lineRule="atLeast"/>
      <w:ind w:left="217" w:hanging="217"/>
      <w:textAlignment w:val="center"/>
    </w:pPr>
    <w:rPr>
      <w:rFonts w:ascii="StoneSans-Bold" w:eastAsia="Times New Roman" w:hAnsi="StoneSans-Bold" w:cs="StoneSans-Bold"/>
      <w:b/>
      <w:bCs/>
      <w:color w:val="000000"/>
      <w:spacing w:val="-2"/>
      <w:sz w:val="18"/>
      <w:szCs w:val="18"/>
      <w:lang w:eastAsia="fr-FR"/>
    </w:rPr>
  </w:style>
  <w:style w:type="paragraph" w:customStyle="1" w:styleId="14Notestabann">
    <w:name w:val="14. Notes tab ann"/>
    <w:basedOn w:val="Normal"/>
    <w:uiPriority w:val="99"/>
    <w:rsid w:val="002803FB"/>
    <w:pPr>
      <w:widowControl w:val="0"/>
      <w:autoSpaceDE w:val="0"/>
      <w:autoSpaceDN w:val="0"/>
      <w:adjustRightInd w:val="0"/>
      <w:spacing w:after="0" w:line="165" w:lineRule="atLeast"/>
      <w:jc w:val="both"/>
      <w:textAlignment w:val="center"/>
    </w:pPr>
    <w:rPr>
      <w:rFonts w:ascii="StoneSerif-Italic" w:eastAsia="Times New Roman" w:hAnsi="StoneSerif-Italic" w:cs="StoneSerif-Italic"/>
      <w:i/>
      <w:iCs/>
      <w:color w:val="000000"/>
      <w:spacing w:val="1"/>
      <w:sz w:val="13"/>
      <w:szCs w:val="13"/>
      <w:lang w:eastAsia="fr-FR"/>
    </w:rPr>
  </w:style>
  <w:style w:type="paragraph" w:customStyle="1" w:styleId="12bAnntab">
    <w:name w:val="12b. Ann tab"/>
    <w:basedOn w:val="Normal"/>
    <w:uiPriority w:val="99"/>
    <w:rsid w:val="002803FB"/>
    <w:pPr>
      <w:widowControl w:val="0"/>
      <w:suppressAutoHyphens/>
      <w:autoSpaceDE w:val="0"/>
      <w:autoSpaceDN w:val="0"/>
      <w:adjustRightInd w:val="0"/>
      <w:spacing w:before="30" w:after="0" w:line="190" w:lineRule="atLeast"/>
      <w:textAlignment w:val="center"/>
    </w:pPr>
    <w:rPr>
      <w:rFonts w:ascii="StoneSans" w:eastAsia="Times New Roman" w:hAnsi="StoneSans" w:cs="StoneSans"/>
      <w:color w:val="000000"/>
      <w:spacing w:val="-1"/>
      <w:w w:val="95"/>
      <w:sz w:val="15"/>
      <w:szCs w:val="15"/>
      <w:lang w:eastAsia="fr-FR"/>
    </w:rPr>
  </w:style>
  <w:style w:type="character" w:customStyle="1" w:styleId="Tableaugras">
    <w:name w:val="Tableau gras"/>
    <w:uiPriority w:val="99"/>
    <w:rsid w:val="002803FB"/>
    <w:rPr>
      <w:rFonts w:ascii="StoneSans-Semibold" w:hAnsi="StoneSans-Semibold" w:cs="StoneSans-Semibold"/>
    </w:rPr>
  </w:style>
  <w:style w:type="character" w:customStyle="1" w:styleId="Tableaugrasbleu">
    <w:name w:val="Tableau gras bleu"/>
    <w:uiPriority w:val="99"/>
    <w:rsid w:val="002803FB"/>
    <w:rPr>
      <w:rFonts w:ascii="StoneSans-Semibold" w:hAnsi="StoneSans-Semibold" w:cs="StoneSans-Semibold"/>
      <w:color w:val="0091FF"/>
    </w:rPr>
  </w:style>
  <w:style w:type="paragraph" w:customStyle="1" w:styleId="01Textecourant">
    <w:name w:val="01. Texte courant"/>
    <w:basedOn w:val="Normal"/>
    <w:uiPriority w:val="99"/>
    <w:rsid w:val="00F77389"/>
    <w:pPr>
      <w:widowControl w:val="0"/>
      <w:autoSpaceDE w:val="0"/>
      <w:autoSpaceDN w:val="0"/>
      <w:adjustRightInd w:val="0"/>
      <w:spacing w:after="0" w:line="220" w:lineRule="atLeast"/>
      <w:ind w:left="1701"/>
      <w:jc w:val="both"/>
      <w:textAlignment w:val="center"/>
    </w:pPr>
    <w:rPr>
      <w:rFonts w:ascii="StoneSerif" w:eastAsia="Times New Roman" w:hAnsi="StoneSerif" w:cs="StoneSerif"/>
      <w:color w:val="000000"/>
      <w:spacing w:val="-2"/>
      <w:sz w:val="18"/>
      <w:szCs w:val="18"/>
      <w:lang w:eastAsia="fr-FR"/>
    </w:rPr>
  </w:style>
</w:styles>
</file>

<file path=word/webSettings.xml><?xml version="1.0" encoding="utf-8"?>
<w:webSettings xmlns:r="http://schemas.openxmlformats.org/officeDocument/2006/relationships" xmlns:w="http://schemas.openxmlformats.org/wordprocessingml/2006/main">
  <w:divs>
    <w:div w:id="371467927">
      <w:bodyDiv w:val="1"/>
      <w:marLeft w:val="0"/>
      <w:marRight w:val="0"/>
      <w:marTop w:val="0"/>
      <w:marBottom w:val="0"/>
      <w:divBdr>
        <w:top w:val="none" w:sz="0" w:space="0" w:color="auto"/>
        <w:left w:val="none" w:sz="0" w:space="0" w:color="auto"/>
        <w:bottom w:val="none" w:sz="0" w:space="0" w:color="auto"/>
        <w:right w:val="none" w:sz="0" w:space="0" w:color="auto"/>
      </w:divBdr>
    </w:div>
    <w:div w:id="473455054">
      <w:bodyDiv w:val="1"/>
      <w:marLeft w:val="0"/>
      <w:marRight w:val="0"/>
      <w:marTop w:val="0"/>
      <w:marBottom w:val="0"/>
      <w:divBdr>
        <w:top w:val="none" w:sz="0" w:space="0" w:color="auto"/>
        <w:left w:val="none" w:sz="0" w:space="0" w:color="auto"/>
        <w:bottom w:val="none" w:sz="0" w:space="0" w:color="auto"/>
        <w:right w:val="none" w:sz="0" w:space="0" w:color="auto"/>
      </w:divBdr>
    </w:div>
    <w:div w:id="654722843">
      <w:bodyDiv w:val="1"/>
      <w:marLeft w:val="0"/>
      <w:marRight w:val="0"/>
      <w:marTop w:val="0"/>
      <w:marBottom w:val="0"/>
      <w:divBdr>
        <w:top w:val="none" w:sz="0" w:space="0" w:color="auto"/>
        <w:left w:val="none" w:sz="0" w:space="0" w:color="auto"/>
        <w:bottom w:val="none" w:sz="0" w:space="0" w:color="auto"/>
        <w:right w:val="none" w:sz="0" w:space="0" w:color="auto"/>
      </w:divBdr>
    </w:div>
    <w:div w:id="935334550">
      <w:bodyDiv w:val="1"/>
      <w:marLeft w:val="0"/>
      <w:marRight w:val="0"/>
      <w:marTop w:val="0"/>
      <w:marBottom w:val="0"/>
      <w:divBdr>
        <w:top w:val="none" w:sz="0" w:space="0" w:color="auto"/>
        <w:left w:val="none" w:sz="0" w:space="0" w:color="auto"/>
        <w:bottom w:val="none" w:sz="0" w:space="0" w:color="auto"/>
        <w:right w:val="none" w:sz="0" w:space="0" w:color="auto"/>
      </w:divBdr>
    </w:div>
    <w:div w:id="1074549678">
      <w:bodyDiv w:val="1"/>
      <w:marLeft w:val="0"/>
      <w:marRight w:val="0"/>
      <w:marTop w:val="0"/>
      <w:marBottom w:val="0"/>
      <w:divBdr>
        <w:top w:val="none" w:sz="0" w:space="0" w:color="auto"/>
        <w:left w:val="none" w:sz="0" w:space="0" w:color="auto"/>
        <w:bottom w:val="none" w:sz="0" w:space="0" w:color="auto"/>
        <w:right w:val="none" w:sz="0" w:space="0" w:color="auto"/>
      </w:divBdr>
    </w:div>
    <w:div w:id="1136491226">
      <w:bodyDiv w:val="1"/>
      <w:marLeft w:val="0"/>
      <w:marRight w:val="0"/>
      <w:marTop w:val="0"/>
      <w:marBottom w:val="0"/>
      <w:divBdr>
        <w:top w:val="none" w:sz="0" w:space="0" w:color="auto"/>
        <w:left w:val="none" w:sz="0" w:space="0" w:color="auto"/>
        <w:bottom w:val="none" w:sz="0" w:space="0" w:color="auto"/>
        <w:right w:val="none" w:sz="0" w:space="0" w:color="auto"/>
      </w:divBdr>
    </w:div>
    <w:div w:id="1366327272">
      <w:bodyDiv w:val="1"/>
      <w:marLeft w:val="0"/>
      <w:marRight w:val="0"/>
      <w:marTop w:val="0"/>
      <w:marBottom w:val="0"/>
      <w:divBdr>
        <w:top w:val="none" w:sz="0" w:space="0" w:color="auto"/>
        <w:left w:val="none" w:sz="0" w:space="0" w:color="auto"/>
        <w:bottom w:val="none" w:sz="0" w:space="0" w:color="auto"/>
        <w:right w:val="none" w:sz="0" w:space="0" w:color="auto"/>
      </w:divBdr>
    </w:div>
    <w:div w:id="1399281525">
      <w:bodyDiv w:val="1"/>
      <w:marLeft w:val="0"/>
      <w:marRight w:val="0"/>
      <w:marTop w:val="0"/>
      <w:marBottom w:val="0"/>
      <w:divBdr>
        <w:top w:val="none" w:sz="0" w:space="0" w:color="auto"/>
        <w:left w:val="none" w:sz="0" w:space="0" w:color="auto"/>
        <w:bottom w:val="none" w:sz="0" w:space="0" w:color="auto"/>
        <w:right w:val="none" w:sz="0" w:space="0" w:color="auto"/>
      </w:divBdr>
    </w:div>
    <w:div w:id="19105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mpots.gouv.fr/cll/zf1/accueil/flux.ex?_flowId=accueilcclloc-flow" TargetMode="External"/><Relationship Id="rId3" Type="http://schemas.openxmlformats.org/officeDocument/2006/relationships/hyperlink" Target="https://www.data.gouv.fr/fr/datasets/balances-comptables-des-communes/" TargetMode="External"/><Relationship Id="rId7" Type="http://schemas.openxmlformats.org/officeDocument/2006/relationships/hyperlink" Target="https://www.collectivites-locales.gouv.fr/tableaux-finances-des-departements-2015" TargetMode="External"/><Relationship Id="rId2" Type="http://schemas.openxmlformats.org/officeDocument/2006/relationships/hyperlink" Target="https://data.economie.gouv.fr/explore/?q=comptes+individuels&amp;sort=modified" TargetMode="External"/><Relationship Id="rId1" Type="http://schemas.openxmlformats.org/officeDocument/2006/relationships/hyperlink" Target="https://www.impots.gouv.fr/cll/zf1/accueil/flux.ex;jsessionid=F3678E6C0EF572562AEB32F4720ABF9C?_flowId=accueilcclloc-flow" TargetMode="External"/><Relationship Id="rId6" Type="http://schemas.openxmlformats.org/officeDocument/2006/relationships/hyperlink" Target="https://www.collectivites-locales.gouv.fr/etudes-et-statistiques-locales" TargetMode="External"/><Relationship Id="rId5" Type="http://schemas.openxmlformats.org/officeDocument/2006/relationships/hyperlink" Target="http://www.collectivites-locales.gouv.fr/instructions-budgetaires-et-comptables" TargetMode="External"/><Relationship Id="rId4" Type="http://schemas.openxmlformats.org/officeDocument/2006/relationships/hyperlink" Target="https://www.data.gouv.fr/fr/datasets/donnees-comptables-et-fiscales-des-collectivites-locales/" TargetMode="External"/><Relationship Id="rId9" Type="http://schemas.openxmlformats.org/officeDocument/2006/relationships/hyperlink" Target="https://www.data.gouv.fr/fr/datasets/donnees-comptables-et-fiscales-des-collectivites-loca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4B21E-11A2-4005-80A7-4993C4C8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25</Pages>
  <Words>8665</Words>
  <Characters>47663</Characters>
  <Application>Microsoft Office Word</Application>
  <DocSecurity>0</DocSecurity>
  <Lines>397</Lines>
  <Paragraphs>112</Paragraphs>
  <ScaleCrop>false</ScaleCrop>
  <HeadingPairs>
    <vt:vector size="2" baseType="variant">
      <vt:variant>
        <vt:lpstr>Titre</vt:lpstr>
      </vt:variant>
      <vt:variant>
        <vt:i4>1</vt:i4>
      </vt:variant>
    </vt:vector>
  </HeadingPairs>
  <TitlesOfParts>
    <vt:vector size="1" baseType="lpstr">
      <vt:lpstr/>
    </vt:vector>
  </TitlesOfParts>
  <Company>MININT</Company>
  <LinksUpToDate>false</LinksUpToDate>
  <CharactersWithSpaces>56216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 Xavier</dc:creator>
  <cp:lastModifiedBy>NIEL Xavier</cp:lastModifiedBy>
  <cp:revision>11</cp:revision>
  <cp:lastPrinted>2021-02-16T13:50:00Z</cp:lastPrinted>
  <dcterms:created xsi:type="dcterms:W3CDTF">2021-02-12T09:04:00Z</dcterms:created>
  <dcterms:modified xsi:type="dcterms:W3CDTF">2021-02-25T09:38:00Z</dcterms:modified>
</cp:coreProperties>
</file>