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192"/>
        <w:tblW w:w="22403" w:type="dxa"/>
        <w:tblLook w:val="04A0" w:firstRow="1" w:lastRow="0" w:firstColumn="1" w:lastColumn="0" w:noHBand="0" w:noVBand="1"/>
      </w:tblPr>
      <w:tblGrid>
        <w:gridCol w:w="721"/>
        <w:gridCol w:w="1569"/>
        <w:gridCol w:w="6704"/>
        <w:gridCol w:w="6704"/>
        <w:gridCol w:w="6705"/>
      </w:tblGrid>
      <w:tr w:rsidR="000A30EE" w:rsidTr="0094599B">
        <w:trPr>
          <w:trHeight w:val="979"/>
        </w:trPr>
        <w:tc>
          <w:tcPr>
            <w:tcW w:w="72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A30EE" w:rsidRPr="00931490" w:rsidRDefault="000A30EE" w:rsidP="005F5DC8">
            <w:pPr>
              <w:ind w:left="-149" w:right="113" w:firstLine="262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931490">
              <w:rPr>
                <w:b/>
                <w:sz w:val="28"/>
              </w:rPr>
              <w:t>ÉXONÉRATIONS</w:t>
            </w:r>
          </w:p>
        </w:tc>
        <w:tc>
          <w:tcPr>
            <w:tcW w:w="14977" w:type="dxa"/>
            <w:gridSpan w:val="3"/>
            <w:shd w:val="clear" w:color="auto" w:fill="F2F2F2" w:themeFill="background1" w:themeFillShade="F2"/>
            <w:vAlign w:val="center"/>
          </w:tcPr>
          <w:p w:rsidR="000A30EE" w:rsidRDefault="000A30EE" w:rsidP="00FE44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Pr="000A30EE">
              <w:rPr>
                <w:b/>
                <w:sz w:val="28"/>
              </w:rPr>
              <w:t>n zone France ruralités revitalisation (FRR)</w:t>
            </w:r>
          </w:p>
          <w:p w:rsidR="000A30EE" w:rsidRPr="00931490" w:rsidRDefault="000A30EE" w:rsidP="00FF28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Pr="000A30EE">
              <w:rPr>
                <w:b/>
                <w:sz w:val="28"/>
              </w:rPr>
              <w:t>2ème semestre 2025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705" w:type="dxa"/>
            <w:shd w:val="clear" w:color="auto" w:fill="F2F2F2" w:themeFill="background1" w:themeFillShade="F2"/>
            <w:vAlign w:val="center"/>
          </w:tcPr>
          <w:p w:rsidR="000A30EE" w:rsidRPr="00C517DA" w:rsidRDefault="000A30EE" w:rsidP="00FF28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 zone France ruralités revitalisation «</w:t>
            </w:r>
            <w:r>
              <w:rPr>
                <w:rFonts w:ascii="Calibri" w:hAnsi="Calibri" w:cs="Calibri"/>
                <w:b/>
                <w:sz w:val="28"/>
              </w:rPr>
              <w:t> </w:t>
            </w:r>
            <w:r>
              <w:rPr>
                <w:b/>
                <w:sz w:val="28"/>
              </w:rPr>
              <w:t>Plus</w:t>
            </w:r>
            <w:r>
              <w:rPr>
                <w:rFonts w:ascii="Calibri" w:hAnsi="Calibri" w:cs="Calibri"/>
                <w:b/>
                <w:sz w:val="28"/>
              </w:rPr>
              <w:t> </w:t>
            </w:r>
            <w:r>
              <w:rPr>
                <w:rFonts w:cs="Marianne"/>
                <w:b/>
                <w:sz w:val="28"/>
              </w:rPr>
              <w:t>»</w:t>
            </w:r>
            <w:r>
              <w:rPr>
                <w:b/>
                <w:sz w:val="28"/>
              </w:rPr>
              <w:t xml:space="preserve"> (FRR+)</w:t>
            </w:r>
          </w:p>
        </w:tc>
      </w:tr>
      <w:tr w:rsidR="00ED524D" w:rsidTr="0094599B">
        <w:trPr>
          <w:trHeight w:val="1984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5F5DC8"/>
        </w:tc>
        <w:tc>
          <w:tcPr>
            <w:tcW w:w="1569" w:type="dxa"/>
            <w:vMerge w:val="restart"/>
            <w:shd w:val="clear" w:color="auto" w:fill="FFF2CC" w:themeFill="accent4" w:themeFillTint="33"/>
            <w:vAlign w:val="center"/>
          </w:tcPr>
          <w:p w:rsidR="00ED524D" w:rsidRPr="00931490" w:rsidRDefault="00ED524D" w:rsidP="00FE44F5">
            <w:pPr>
              <w:jc w:val="center"/>
              <w:rPr>
                <w:b/>
              </w:rPr>
            </w:pPr>
            <w:r w:rsidRPr="00931490">
              <w:rPr>
                <w:b/>
              </w:rPr>
              <w:t>Articles du CGI</w:t>
            </w:r>
          </w:p>
        </w:tc>
        <w:tc>
          <w:tcPr>
            <w:tcW w:w="6704" w:type="dxa"/>
            <w:shd w:val="clear" w:color="auto" w:fill="FFF2CC" w:themeFill="accent4" w:themeFillTint="33"/>
            <w:vAlign w:val="center"/>
          </w:tcPr>
          <w:p w:rsidR="00ED524D" w:rsidRPr="00931490" w:rsidRDefault="00ED524D" w:rsidP="005F5DC8">
            <w:pPr>
              <w:jc w:val="center"/>
              <w:rPr>
                <w:b/>
              </w:rPr>
            </w:pPr>
            <w:r w:rsidRPr="005B3B20">
              <w:rPr>
                <w:b/>
                <w:sz w:val="24"/>
              </w:rPr>
              <w:t>Communes classées</w:t>
            </w:r>
            <w:r>
              <w:rPr>
                <w:b/>
                <w:sz w:val="24"/>
              </w:rPr>
              <w:t xml:space="preserve"> en FRR </w:t>
            </w:r>
            <w:r w:rsidRPr="005B3B20">
              <w:rPr>
                <w:b/>
                <w:sz w:val="24"/>
              </w:rPr>
              <w:t>en loi de finances pour 2024</w:t>
            </w:r>
          </w:p>
        </w:tc>
        <w:tc>
          <w:tcPr>
            <w:tcW w:w="6704" w:type="dxa"/>
            <w:shd w:val="clear" w:color="auto" w:fill="FFF2CC" w:themeFill="accent4" w:themeFillTint="33"/>
            <w:vAlign w:val="center"/>
          </w:tcPr>
          <w:p w:rsidR="00ED524D" w:rsidRDefault="00ED524D" w:rsidP="00FF2819">
            <w:pPr>
              <w:jc w:val="center"/>
              <w:rPr>
                <w:b/>
                <w:sz w:val="24"/>
              </w:rPr>
            </w:pPr>
            <w:r w:rsidRPr="005B3B20">
              <w:rPr>
                <w:b/>
                <w:sz w:val="24"/>
              </w:rPr>
              <w:t>Communes classées</w:t>
            </w:r>
            <w:r>
              <w:rPr>
                <w:rFonts w:ascii="Calibri" w:hAnsi="Calibri" w:cs="Calibri"/>
                <w:b/>
                <w:sz w:val="24"/>
              </w:rPr>
              <w:t> </w:t>
            </w:r>
            <w:r>
              <w:rPr>
                <w:b/>
                <w:sz w:val="24"/>
              </w:rPr>
              <w:t>/ bénéficiaires</w:t>
            </w:r>
            <w:r w:rsidRPr="005B3B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FRR </w:t>
            </w:r>
            <w:r w:rsidRPr="005B3B20">
              <w:rPr>
                <w:b/>
                <w:sz w:val="24"/>
              </w:rPr>
              <w:t>en loi de finances pour 2025</w:t>
            </w:r>
          </w:p>
          <w:p w:rsidR="00ED524D" w:rsidRDefault="00ED524D" w:rsidP="00FF2819">
            <w:pPr>
              <w:jc w:val="center"/>
              <w:rPr>
                <w:b/>
                <w:sz w:val="24"/>
              </w:rPr>
            </w:pPr>
          </w:p>
          <w:p w:rsidR="00ED524D" w:rsidRDefault="00ED524D" w:rsidP="0094599B">
            <w:pPr>
              <w:jc w:val="center"/>
              <w:rPr>
                <w:b/>
              </w:rPr>
            </w:pPr>
            <w:r>
              <w:rPr>
                <w:b/>
              </w:rPr>
              <w:t>Communes classées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 xml:space="preserve">: </w:t>
            </w:r>
            <w:r w:rsidRPr="00856FF8">
              <w:rPr>
                <w:b/>
              </w:rPr>
              <w:t>CC du Réolais en Sud-Gironde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Pr="00856FF8">
              <w:rPr>
                <w:b/>
              </w:rPr>
              <w:t>CC Castillon/</w:t>
            </w:r>
            <w:proofErr w:type="spellStart"/>
            <w:r w:rsidRPr="00856FF8">
              <w:rPr>
                <w:b/>
              </w:rPr>
              <w:t>Pujols</w:t>
            </w:r>
            <w:proofErr w:type="spellEnd"/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Pr="00856FF8">
              <w:rPr>
                <w:b/>
              </w:rPr>
              <w:t>CC Cœur de l’Avesnois</w:t>
            </w:r>
          </w:p>
          <w:p w:rsidR="00ED524D" w:rsidRDefault="00ED524D">
            <w:pPr>
              <w:jc w:val="center"/>
              <w:rPr>
                <w:b/>
              </w:rPr>
            </w:pPr>
          </w:p>
          <w:p w:rsidR="00ED524D" w:rsidRPr="00931490" w:rsidRDefault="00ED524D" w:rsidP="0094599B">
            <w:pPr>
              <w:jc w:val="center"/>
              <w:rPr>
                <w:b/>
                <w:sz w:val="20"/>
              </w:rPr>
            </w:pPr>
            <w:r w:rsidRPr="00856FF8">
              <w:rPr>
                <w:b/>
              </w:rPr>
              <w:t>Communes «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FRR bénéficiaires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rFonts w:cs="Marianne"/>
                <w:b/>
              </w:rPr>
              <w:t>»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cs="Marianne"/>
                <w:b/>
              </w:rPr>
              <w:t xml:space="preserve">: </w:t>
            </w:r>
            <w:proofErr w:type="spellStart"/>
            <w:r w:rsidRPr="00856FF8">
              <w:rPr>
                <w:b/>
              </w:rPr>
              <w:t>Vinon</w:t>
            </w:r>
            <w:proofErr w:type="spellEnd"/>
            <w:r w:rsidRPr="00856FF8">
              <w:rPr>
                <w:b/>
              </w:rPr>
              <w:t>-sur-Verdon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  <w:r>
              <w:rPr>
                <w:rFonts w:cs="Marianne"/>
                <w:b/>
              </w:rPr>
              <w:t xml:space="preserve"> </w:t>
            </w:r>
            <w:r w:rsidRPr="00856FF8">
              <w:rPr>
                <w:b/>
              </w:rPr>
              <w:t>Ingrandes-le-Fresnes-sur-Loire</w:t>
            </w:r>
          </w:p>
        </w:tc>
        <w:tc>
          <w:tcPr>
            <w:tcW w:w="6705" w:type="dxa"/>
            <w:shd w:val="clear" w:color="auto" w:fill="FFF2CC" w:themeFill="accent4" w:themeFillTint="33"/>
            <w:vAlign w:val="center"/>
          </w:tcPr>
          <w:p w:rsidR="00ED524D" w:rsidRPr="005B3B20" w:rsidRDefault="00ED524D" w:rsidP="00FE44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Communes classées en FRR +</w:t>
            </w:r>
          </w:p>
        </w:tc>
      </w:tr>
      <w:tr w:rsidR="00ED524D" w:rsidTr="0094599B">
        <w:trPr>
          <w:trHeight w:val="1293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5F5DC8"/>
        </w:tc>
        <w:tc>
          <w:tcPr>
            <w:tcW w:w="1569" w:type="dxa"/>
            <w:vMerge/>
            <w:shd w:val="clear" w:color="auto" w:fill="FFF2CC" w:themeFill="accent4" w:themeFillTint="33"/>
          </w:tcPr>
          <w:p w:rsidR="00ED524D" w:rsidRDefault="00ED524D" w:rsidP="005F5DC8"/>
        </w:tc>
        <w:tc>
          <w:tcPr>
            <w:tcW w:w="6704" w:type="dxa"/>
            <w:shd w:val="clear" w:color="auto" w:fill="D9E2F3" w:themeFill="accent5" w:themeFillTint="33"/>
            <w:vAlign w:val="center"/>
          </w:tcPr>
          <w:p w:rsidR="00ED524D" w:rsidRPr="007A7904" w:rsidRDefault="00ED524D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</w:t>
            </w:r>
            <w:r>
              <w:rPr>
                <w:b/>
                <w:i/>
                <w:sz w:val="20"/>
              </w:rPr>
              <w:t>jusqu’au 30 septembre 2025 inclus</w:t>
            </w:r>
          </w:p>
          <w:p w:rsidR="00ED524D" w:rsidRDefault="00ED524D" w:rsidP="005F5DC8">
            <w:pPr>
              <w:jc w:val="center"/>
              <w:rPr>
                <w:i/>
                <w:sz w:val="18"/>
              </w:rPr>
            </w:pPr>
          </w:p>
          <w:p w:rsidR="00ED524D" w:rsidRPr="00A665F9" w:rsidRDefault="00ED524D" w:rsidP="005F5DC8">
            <w:pPr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>(collectivités</w:t>
            </w:r>
            <w:r w:rsidRPr="00A665F9">
              <w:rPr>
                <w:i/>
                <w:sz w:val="18"/>
              </w:rPr>
              <w:t xml:space="preserve"> qui n’auraient pas encore délibéré)</w:t>
            </w:r>
          </w:p>
        </w:tc>
        <w:tc>
          <w:tcPr>
            <w:tcW w:w="6704" w:type="dxa"/>
            <w:shd w:val="clear" w:color="auto" w:fill="D9E2F3" w:themeFill="accent5" w:themeFillTint="33"/>
            <w:vAlign w:val="center"/>
          </w:tcPr>
          <w:p w:rsidR="00ED524D" w:rsidRPr="002314AE" w:rsidRDefault="00ED524D" w:rsidP="00ED524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</w:t>
            </w:r>
            <w:r>
              <w:rPr>
                <w:b/>
                <w:i/>
                <w:sz w:val="20"/>
              </w:rPr>
              <w:t>jusqu’au</w:t>
            </w:r>
            <w:r w:rsidRPr="00D64328">
              <w:rPr>
                <w:b/>
                <w:i/>
                <w:sz w:val="20"/>
              </w:rPr>
              <w:t xml:space="preserve"> 30 septembre 2025</w:t>
            </w:r>
            <w:r>
              <w:rPr>
                <w:b/>
                <w:i/>
                <w:sz w:val="20"/>
              </w:rPr>
              <w:t xml:space="preserve"> inclus</w:t>
            </w:r>
          </w:p>
          <w:p w:rsidR="00ED524D" w:rsidRDefault="00ED524D" w:rsidP="005F5DC8">
            <w:pPr>
              <w:jc w:val="center"/>
              <w:rPr>
                <w:sz w:val="20"/>
              </w:rPr>
            </w:pPr>
          </w:p>
        </w:tc>
        <w:tc>
          <w:tcPr>
            <w:tcW w:w="6705" w:type="dxa"/>
            <w:shd w:val="clear" w:color="auto" w:fill="D9E2F3" w:themeFill="accent5" w:themeFillTint="33"/>
            <w:vAlign w:val="center"/>
          </w:tcPr>
          <w:p w:rsidR="00ED524D" w:rsidRDefault="00ED524D" w:rsidP="00FF28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entre </w:t>
            </w:r>
            <w:r w:rsidRPr="0014432B">
              <w:rPr>
                <w:sz w:val="20"/>
              </w:rPr>
              <w:t>le</w:t>
            </w:r>
            <w:r w:rsidRPr="0094599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 w:rsidRPr="0094599B">
              <w:rPr>
                <w:b/>
                <w:sz w:val="20"/>
              </w:rPr>
              <w:t xml:space="preserve"> juillet 2025</w:t>
            </w:r>
            <w:r>
              <w:rPr>
                <w:sz w:val="20"/>
              </w:rPr>
              <w:t xml:space="preserve"> (lendemain de la publication de l’arrêté FRR+) et le </w:t>
            </w:r>
            <w:r w:rsidRPr="00D64328">
              <w:rPr>
                <w:b/>
                <w:i/>
                <w:sz w:val="20"/>
              </w:rPr>
              <w:t>30 septembre 2025</w:t>
            </w:r>
            <w:r>
              <w:rPr>
                <w:b/>
                <w:i/>
                <w:sz w:val="20"/>
              </w:rPr>
              <w:t xml:space="preserve"> inclus</w:t>
            </w:r>
          </w:p>
        </w:tc>
      </w:tr>
      <w:tr w:rsidR="00ED524D" w:rsidTr="0094599B">
        <w:trPr>
          <w:trHeight w:val="1325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5F5DC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Pr="00931490" w:rsidRDefault="00ED524D" w:rsidP="005F5DC8">
            <w:pPr>
              <w:ind w:left="35" w:hanging="35"/>
              <w:jc w:val="center"/>
              <w:rPr>
                <w:b/>
              </w:rPr>
            </w:pPr>
            <w:r w:rsidRPr="00931490">
              <w:rPr>
                <w:b/>
              </w:rPr>
              <w:t>1383 K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2027 pour les entreprises créées ou reprises à partir de 2026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2027 pour les entreprises créées ou reprises à partir de 2026</w:t>
            </w:r>
          </w:p>
          <w:p w:rsidR="00ED524D" w:rsidRPr="002314AE" w:rsidRDefault="00ED524D" w:rsidP="005F5DC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de TFPB à compter de 2026 pour les activités créées ou reprises à partir de 2025.</w:t>
            </w:r>
          </w:p>
          <w:p w:rsidR="00ED524D" w:rsidRDefault="00ED524D" w:rsidP="0094599B">
            <w:pPr>
              <w:rPr>
                <w:sz w:val="20"/>
              </w:rPr>
            </w:pPr>
          </w:p>
        </w:tc>
      </w:tr>
      <w:tr w:rsidR="00ED524D" w:rsidTr="0094599B">
        <w:trPr>
          <w:trHeight w:val="1319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5F5DC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Pr="00931490" w:rsidRDefault="00ED524D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1466 G</w:t>
            </w:r>
          </w:p>
          <w:p w:rsidR="00ED524D" w:rsidRPr="005D10F0" w:rsidRDefault="00ED524D" w:rsidP="005F5DC8">
            <w:pPr>
              <w:jc w:val="center"/>
            </w:pP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entreprises créées ou reprises à partir de 2026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entreprises créées ou reprises à partir de 2026</w:t>
            </w:r>
          </w:p>
          <w:p w:rsidR="00ED524D" w:rsidRPr="002314AE" w:rsidRDefault="00ED524D" w:rsidP="005F5DC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de CFE à compter de 2026 pour les activités créées ou reprises à partir de 2025.</w:t>
            </w:r>
          </w:p>
          <w:p w:rsidR="00ED524D" w:rsidRDefault="00ED524D" w:rsidP="0094599B">
            <w:pPr>
              <w:rPr>
                <w:sz w:val="20"/>
              </w:rPr>
            </w:pPr>
          </w:p>
        </w:tc>
      </w:tr>
      <w:tr w:rsidR="00ED524D" w:rsidTr="0094599B">
        <w:trPr>
          <w:trHeight w:val="1667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5F5DC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Pr="00931490" w:rsidRDefault="00ED524D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1464 D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médecins et auxiliaires médicaux installés à partir de 2026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médecins et auxiliaires médicaux installés à partir de 2026</w:t>
            </w:r>
          </w:p>
          <w:p w:rsidR="00ED524D" w:rsidRPr="002314AE" w:rsidRDefault="00ED524D" w:rsidP="005F5DC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non concernée par ce délai.</w:t>
            </w:r>
          </w:p>
        </w:tc>
      </w:tr>
      <w:tr w:rsidR="00ED524D" w:rsidTr="0094599B">
        <w:trPr>
          <w:trHeight w:val="1811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156D3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Pr="00931490" w:rsidRDefault="00ED524D" w:rsidP="00156D38">
            <w:pPr>
              <w:jc w:val="center"/>
              <w:rPr>
                <w:b/>
              </w:rPr>
            </w:pPr>
            <w:r w:rsidRPr="00931490">
              <w:rPr>
                <w:b/>
              </w:rPr>
              <w:t>1383 E bis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  <w:p w:rsidR="00ED524D" w:rsidRPr="002314AE" w:rsidRDefault="00ED524D" w:rsidP="00156D3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non concernée par ce délai.</w:t>
            </w:r>
          </w:p>
        </w:tc>
      </w:tr>
      <w:tr w:rsidR="00ED524D" w:rsidTr="0094599B">
        <w:trPr>
          <w:trHeight w:val="1776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156D3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Default="00ED524D" w:rsidP="00156D38">
            <w:pPr>
              <w:jc w:val="center"/>
              <w:rPr>
                <w:b/>
              </w:rPr>
            </w:pPr>
            <w:r w:rsidRPr="00931490">
              <w:rPr>
                <w:b/>
              </w:rPr>
              <w:t>1414 bis</w:t>
            </w:r>
          </w:p>
          <w:p w:rsidR="00ED524D" w:rsidRPr="001668E9" w:rsidRDefault="00ED524D" w:rsidP="00156D38">
            <w:pPr>
              <w:jc w:val="center"/>
            </w:pPr>
            <w:r w:rsidRPr="001668E9">
              <w:t>(ancien article 1407-III)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2026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2026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  <w:p w:rsidR="00ED524D" w:rsidRPr="002314AE" w:rsidRDefault="00ED524D" w:rsidP="00156D3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non concernée par ce délai.</w:t>
            </w:r>
          </w:p>
        </w:tc>
      </w:tr>
      <w:tr w:rsidR="00ED524D" w:rsidTr="0094599B">
        <w:trPr>
          <w:trHeight w:val="1803"/>
        </w:trPr>
        <w:tc>
          <w:tcPr>
            <w:tcW w:w="721" w:type="dxa"/>
            <w:vMerge/>
            <w:shd w:val="clear" w:color="auto" w:fill="F2F2F2" w:themeFill="background1" w:themeFillShade="F2"/>
          </w:tcPr>
          <w:p w:rsidR="00ED524D" w:rsidRDefault="00ED524D" w:rsidP="00156D38"/>
        </w:tc>
        <w:tc>
          <w:tcPr>
            <w:tcW w:w="1569" w:type="dxa"/>
            <w:shd w:val="clear" w:color="auto" w:fill="FFF2CC" w:themeFill="accent4" w:themeFillTint="33"/>
            <w:vAlign w:val="center"/>
          </w:tcPr>
          <w:p w:rsidR="00ED524D" w:rsidRPr="00931490" w:rsidRDefault="00ED524D" w:rsidP="00156D38">
            <w:pPr>
              <w:jc w:val="center"/>
              <w:rPr>
                <w:b/>
              </w:rPr>
            </w:pPr>
            <w:r w:rsidRPr="00931490">
              <w:rPr>
                <w:b/>
              </w:rPr>
              <w:t>1383 E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logements locatifs dont les travaux d’amélioration se sont achevés à partir de 2025</w:t>
            </w:r>
          </w:p>
        </w:tc>
        <w:tc>
          <w:tcPr>
            <w:tcW w:w="6704" w:type="dxa"/>
            <w:vAlign w:val="center"/>
          </w:tcPr>
          <w:p w:rsidR="00ED524D" w:rsidRPr="002314AE" w:rsidRDefault="00ED524D" w:rsidP="00156D3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logements locatifs dont les travaux d’amélioration se sont achevés à partir de 2025</w:t>
            </w:r>
          </w:p>
          <w:p w:rsidR="00ED524D" w:rsidRPr="002314AE" w:rsidRDefault="00ED524D" w:rsidP="00156D38">
            <w:pPr>
              <w:jc w:val="both"/>
              <w:rPr>
                <w:sz w:val="20"/>
              </w:rPr>
            </w:pPr>
          </w:p>
        </w:tc>
        <w:tc>
          <w:tcPr>
            <w:tcW w:w="6705" w:type="dxa"/>
            <w:vAlign w:val="center"/>
          </w:tcPr>
          <w:p w:rsidR="00ED524D" w:rsidRDefault="00ED524D" w:rsidP="0094599B">
            <w:pPr>
              <w:rPr>
                <w:sz w:val="20"/>
              </w:rPr>
            </w:pPr>
            <w:r>
              <w:rPr>
                <w:sz w:val="20"/>
              </w:rPr>
              <w:t>Exonération non concernée par ce délai.</w:t>
            </w:r>
          </w:p>
        </w:tc>
      </w:tr>
    </w:tbl>
    <w:p w:rsidR="00A665F9" w:rsidRDefault="00A665F9" w:rsidP="00A665F9"/>
    <w:sectPr w:rsidR="00A665F9" w:rsidSect="005F5DC8">
      <w:headerReference w:type="default" r:id="rId7"/>
      <w:pgSz w:w="23811" w:h="16838" w:orient="landscape" w:code="8"/>
      <w:pgMar w:top="624" w:right="678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C0" w:rsidRDefault="000F4DC0" w:rsidP="007A7904">
      <w:pPr>
        <w:spacing w:after="0" w:line="240" w:lineRule="auto"/>
      </w:pPr>
      <w:r>
        <w:separator/>
      </w:r>
    </w:p>
  </w:endnote>
  <w:endnote w:type="continuationSeparator" w:id="0">
    <w:p w:rsidR="000F4DC0" w:rsidRDefault="000F4DC0" w:rsidP="007A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C0" w:rsidRDefault="000F4DC0" w:rsidP="007A7904">
      <w:pPr>
        <w:spacing w:after="0" w:line="240" w:lineRule="auto"/>
      </w:pPr>
      <w:r>
        <w:separator/>
      </w:r>
    </w:p>
  </w:footnote>
  <w:footnote w:type="continuationSeparator" w:id="0">
    <w:p w:rsidR="000F4DC0" w:rsidRDefault="000F4DC0" w:rsidP="007A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DA" w:rsidRPr="00C517DA" w:rsidRDefault="00C517DA" w:rsidP="00C517DA">
    <w:pPr>
      <w:pStyle w:val="En-tte"/>
      <w:jc w:val="center"/>
      <w:rPr>
        <w:sz w:val="28"/>
        <w:szCs w:val="28"/>
      </w:rPr>
    </w:pPr>
    <w:r w:rsidRPr="00C517DA">
      <w:rPr>
        <w:b/>
        <w:sz w:val="28"/>
        <w:szCs w:val="28"/>
      </w:rPr>
      <w:t>TABLEAU DE SYNTHESE</w:t>
    </w:r>
    <w:r w:rsidR="000A30EE">
      <w:rPr>
        <w:b/>
        <w:sz w:val="28"/>
        <w:szCs w:val="28"/>
      </w:rPr>
      <w:t xml:space="preserve"> - </w:t>
    </w:r>
    <w:r w:rsidR="000A30EE" w:rsidRPr="000A30EE">
      <w:rPr>
        <w:b/>
        <w:sz w:val="28"/>
        <w:szCs w:val="28"/>
      </w:rPr>
      <w:t>DÉLAIS DE DÉLIBÉRATION</w:t>
    </w:r>
    <w:r w:rsidRPr="00C517DA">
      <w:rPr>
        <w:sz w:val="28"/>
        <w:szCs w:val="28"/>
      </w:rPr>
      <w:t xml:space="preserve"> </w:t>
    </w:r>
    <w:r w:rsidRPr="00C517DA">
      <w:rPr>
        <w:b/>
        <w:sz w:val="28"/>
        <w:szCs w:val="28"/>
      </w:rPr>
      <w:t>(source</w:t>
    </w:r>
    <w:r w:rsidRPr="00C517DA">
      <w:rPr>
        <w:rFonts w:ascii="Calibri" w:hAnsi="Calibri" w:cs="Calibri"/>
        <w:b/>
        <w:sz w:val="28"/>
        <w:szCs w:val="28"/>
      </w:rPr>
      <w:t> </w:t>
    </w:r>
    <w:r w:rsidRPr="00C517DA">
      <w:rPr>
        <w:b/>
        <w:sz w:val="28"/>
        <w:szCs w:val="28"/>
      </w:rPr>
      <w:t>: DGCL/DLF)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B"/>
    <w:rsid w:val="000A30EE"/>
    <w:rsid w:val="000E170E"/>
    <w:rsid w:val="000F4DC0"/>
    <w:rsid w:val="0011340C"/>
    <w:rsid w:val="0014432B"/>
    <w:rsid w:val="00156D38"/>
    <w:rsid w:val="001668E9"/>
    <w:rsid w:val="001838F7"/>
    <w:rsid w:val="001B5E41"/>
    <w:rsid w:val="002314AE"/>
    <w:rsid w:val="002B4F01"/>
    <w:rsid w:val="002C515E"/>
    <w:rsid w:val="002E5C8B"/>
    <w:rsid w:val="002F18D6"/>
    <w:rsid w:val="002F7417"/>
    <w:rsid w:val="00306E0D"/>
    <w:rsid w:val="003326CD"/>
    <w:rsid w:val="0033422B"/>
    <w:rsid w:val="00345662"/>
    <w:rsid w:val="00347D1A"/>
    <w:rsid w:val="00472B86"/>
    <w:rsid w:val="004F710C"/>
    <w:rsid w:val="00570136"/>
    <w:rsid w:val="005B3B20"/>
    <w:rsid w:val="005D10F0"/>
    <w:rsid w:val="005F5DC8"/>
    <w:rsid w:val="006326AC"/>
    <w:rsid w:val="00666EF4"/>
    <w:rsid w:val="006A5A57"/>
    <w:rsid w:val="00740928"/>
    <w:rsid w:val="00774408"/>
    <w:rsid w:val="007853A2"/>
    <w:rsid w:val="007A7904"/>
    <w:rsid w:val="00847BBA"/>
    <w:rsid w:val="00856FF8"/>
    <w:rsid w:val="00870F68"/>
    <w:rsid w:val="00893D5A"/>
    <w:rsid w:val="008D4E5D"/>
    <w:rsid w:val="008E0DA3"/>
    <w:rsid w:val="00925647"/>
    <w:rsid w:val="00931490"/>
    <w:rsid w:val="0094599B"/>
    <w:rsid w:val="00964F8B"/>
    <w:rsid w:val="0096794B"/>
    <w:rsid w:val="009B72B0"/>
    <w:rsid w:val="009E1D05"/>
    <w:rsid w:val="00A665F9"/>
    <w:rsid w:val="00B31B90"/>
    <w:rsid w:val="00C517DA"/>
    <w:rsid w:val="00C5230E"/>
    <w:rsid w:val="00C90CAE"/>
    <w:rsid w:val="00CD2468"/>
    <w:rsid w:val="00D60002"/>
    <w:rsid w:val="00D64328"/>
    <w:rsid w:val="00DD46F4"/>
    <w:rsid w:val="00E14699"/>
    <w:rsid w:val="00EA5DDA"/>
    <w:rsid w:val="00EC68E4"/>
    <w:rsid w:val="00ED524D"/>
    <w:rsid w:val="00F36A6F"/>
    <w:rsid w:val="00F4680D"/>
    <w:rsid w:val="00F55F1E"/>
    <w:rsid w:val="00FA6E32"/>
    <w:rsid w:val="00FC01A4"/>
    <w:rsid w:val="00FC7082"/>
    <w:rsid w:val="00FE44F5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494721-0CBD-4AA3-841F-1CABA3C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904"/>
  </w:style>
  <w:style w:type="paragraph" w:styleId="Pieddepage">
    <w:name w:val="footer"/>
    <w:basedOn w:val="Normal"/>
    <w:link w:val="PieddepageCar"/>
    <w:uiPriority w:val="99"/>
    <w:unhideWhenUsed/>
    <w:rsid w:val="007A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904"/>
  </w:style>
  <w:style w:type="character" w:styleId="Marquedecommentaire">
    <w:name w:val="annotation reference"/>
    <w:basedOn w:val="Policepardfaut"/>
    <w:uiPriority w:val="99"/>
    <w:semiHidden/>
    <w:unhideWhenUsed/>
    <w:rsid w:val="00E146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6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46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6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6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AADC-667B-4189-B345-17765CC0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BENEZIT Valentin</dc:creator>
  <cp:keywords/>
  <dc:description/>
  <cp:lastModifiedBy>BOSSAVIT Annabelle</cp:lastModifiedBy>
  <cp:revision>3</cp:revision>
  <dcterms:created xsi:type="dcterms:W3CDTF">2025-08-11T09:17:00Z</dcterms:created>
  <dcterms:modified xsi:type="dcterms:W3CDTF">2025-08-11T09:19:00Z</dcterms:modified>
</cp:coreProperties>
</file>