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46C" w:rsidRPr="00E57AA5" w:rsidRDefault="00E57AA5" w:rsidP="00E57AA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rPr>
      </w:pPr>
      <w:r w:rsidRPr="00E57AA5">
        <w:rPr>
          <w:rFonts w:ascii="Times New Roman" w:hAnsi="Times New Roman" w:cs="Times New Roman"/>
          <w:b/>
          <w:bCs/>
        </w:rPr>
        <w:t>Définition de l’enveloppe indemnitaire applicable aux EPCI-FP : effet des « accords locaux »</w:t>
      </w:r>
    </w:p>
    <w:p w:rsidR="00E57AA5" w:rsidRDefault="00E57AA5">
      <w:pPr>
        <w:rPr>
          <w:rFonts w:ascii="Times New Roman" w:hAnsi="Times New Roman" w:cs="Times New Roman"/>
        </w:rPr>
      </w:pPr>
    </w:p>
    <w:p w:rsidR="00660165" w:rsidRPr="00660165" w:rsidRDefault="003C046C">
      <w:pPr>
        <w:rPr>
          <w:rFonts w:ascii="Times New Roman" w:hAnsi="Times New Roman" w:cs="Times New Roman"/>
          <w:b/>
          <w:bCs/>
          <w:u w:val="single"/>
        </w:rPr>
      </w:pPr>
      <w:r>
        <w:rPr>
          <w:rFonts w:ascii="Times New Roman" w:hAnsi="Times New Roman" w:cs="Times New Roman"/>
          <w:b/>
          <w:bCs/>
          <w:u w:val="single"/>
        </w:rPr>
        <w:t>D</w:t>
      </w:r>
      <w:r w:rsidR="00660165" w:rsidRPr="00660165">
        <w:rPr>
          <w:rFonts w:ascii="Times New Roman" w:hAnsi="Times New Roman" w:cs="Times New Roman"/>
          <w:b/>
          <w:bCs/>
          <w:u w:val="single"/>
        </w:rPr>
        <w:t xml:space="preserve">éfinition </w:t>
      </w:r>
      <w:r>
        <w:rPr>
          <w:rFonts w:ascii="Times New Roman" w:hAnsi="Times New Roman" w:cs="Times New Roman"/>
          <w:b/>
          <w:bCs/>
          <w:u w:val="single"/>
        </w:rPr>
        <w:t xml:space="preserve">de droit commun </w:t>
      </w:r>
      <w:r w:rsidR="00660165" w:rsidRPr="00660165">
        <w:rPr>
          <w:rFonts w:ascii="Times New Roman" w:hAnsi="Times New Roman" w:cs="Times New Roman"/>
          <w:b/>
          <w:bCs/>
          <w:u w:val="single"/>
        </w:rPr>
        <w:t>de l’enveloppe indemnitaire des EPCI</w:t>
      </w:r>
    </w:p>
    <w:p w:rsidR="00E57AA5" w:rsidRDefault="00E57AA5">
      <w:pPr>
        <w:rPr>
          <w:rFonts w:ascii="Times New Roman" w:hAnsi="Times New Roman" w:cs="Times New Roman"/>
        </w:rPr>
      </w:pPr>
      <w:r>
        <w:rPr>
          <w:rFonts w:ascii="Times New Roman" w:hAnsi="Times New Roman" w:cs="Times New Roman"/>
        </w:rPr>
        <w:t>L’article L. 5211-12</w:t>
      </w:r>
      <w:r w:rsidR="00660165">
        <w:rPr>
          <w:rFonts w:ascii="Times New Roman" w:hAnsi="Times New Roman" w:cs="Times New Roman"/>
        </w:rPr>
        <w:t xml:space="preserve"> du code général des collectivités territoriales (CGCT)</w:t>
      </w:r>
      <w:r>
        <w:rPr>
          <w:rFonts w:ascii="Times New Roman" w:hAnsi="Times New Roman" w:cs="Times New Roman"/>
        </w:rPr>
        <w:t xml:space="preserve"> définit les modalités selon lesquelles il convient de calculer l’enveloppe indemnitaire </w:t>
      </w:r>
      <w:r w:rsidR="00847887">
        <w:rPr>
          <w:rFonts w:ascii="Times New Roman" w:hAnsi="Times New Roman" w:cs="Times New Roman"/>
        </w:rPr>
        <w:t>à</w:t>
      </w:r>
      <w:r>
        <w:rPr>
          <w:rFonts w:ascii="Times New Roman" w:hAnsi="Times New Roman" w:cs="Times New Roman"/>
        </w:rPr>
        <w:t xml:space="preserve"> répartir </w:t>
      </w:r>
      <w:r w:rsidR="00847887">
        <w:rPr>
          <w:rFonts w:ascii="Times New Roman" w:hAnsi="Times New Roman" w:cs="Times New Roman"/>
        </w:rPr>
        <w:t xml:space="preserve">entre le </w:t>
      </w:r>
      <w:r>
        <w:rPr>
          <w:rFonts w:ascii="Times New Roman" w:hAnsi="Times New Roman" w:cs="Times New Roman"/>
        </w:rPr>
        <w:t>président et les vice-présidents d’un établissement public de coopération intercommunale à fiscalité propre (EPCI-FP).</w:t>
      </w:r>
      <w:r w:rsidR="00555EC5">
        <w:rPr>
          <w:rFonts w:ascii="Times New Roman" w:hAnsi="Times New Roman" w:cs="Times New Roman"/>
        </w:rPr>
        <w:t xml:space="preserve"> Pour obtenir l</w:t>
      </w:r>
      <w:r w:rsidR="003C046C">
        <w:rPr>
          <w:rFonts w:ascii="Times New Roman" w:hAnsi="Times New Roman" w:cs="Times New Roman"/>
        </w:rPr>
        <w:t>e montant de l’enveloppe</w:t>
      </w:r>
      <w:r w:rsidR="00555EC5">
        <w:rPr>
          <w:rFonts w:ascii="Times New Roman" w:hAnsi="Times New Roman" w:cs="Times New Roman"/>
        </w:rPr>
        <w:t>, il convient d’additionner l’indemnité maximale susceptible d’être perçue par le président d’une part, et les vice-présidents d’autre part</w:t>
      </w:r>
      <w:r w:rsidR="00847887">
        <w:rPr>
          <w:rFonts w:ascii="Times New Roman" w:hAnsi="Times New Roman" w:cs="Times New Roman"/>
        </w:rPr>
        <w:t>. Ce montant maximal est fixé par strate de population : l’enveloppe indemnitaire est donc susceptible de varier sous l’effet du nombre de vice-présidents.</w:t>
      </w:r>
    </w:p>
    <w:p w:rsidR="00E57AA5" w:rsidRDefault="00847887">
      <w:pPr>
        <w:rPr>
          <w:rFonts w:ascii="Times New Roman" w:hAnsi="Times New Roman" w:cs="Times New Roman"/>
        </w:rPr>
      </w:pPr>
      <w:r>
        <w:rPr>
          <w:rFonts w:ascii="Times New Roman" w:hAnsi="Times New Roman" w:cs="Times New Roman"/>
        </w:rPr>
        <w:t>Il est par conséquent nécess</w:t>
      </w:r>
      <w:r w:rsidR="00555EC5">
        <w:rPr>
          <w:rFonts w:ascii="Times New Roman" w:hAnsi="Times New Roman" w:cs="Times New Roman"/>
        </w:rPr>
        <w:t xml:space="preserve">aire de </w:t>
      </w:r>
      <w:r w:rsidR="00555EC5" w:rsidRPr="00555EC5">
        <w:rPr>
          <w:rFonts w:ascii="Times New Roman" w:hAnsi="Times New Roman" w:cs="Times New Roman"/>
          <w:u w:val="single"/>
        </w:rPr>
        <w:t>déterminer l</w:t>
      </w:r>
      <w:r w:rsidR="00E57AA5" w:rsidRPr="00555EC5">
        <w:rPr>
          <w:rFonts w:ascii="Times New Roman" w:hAnsi="Times New Roman" w:cs="Times New Roman"/>
          <w:u w:val="single"/>
        </w:rPr>
        <w:t>’effectif total du conseil de l’EPCI-FP</w:t>
      </w:r>
      <w:r w:rsidR="00E57AA5">
        <w:rPr>
          <w:rFonts w:ascii="Times New Roman" w:hAnsi="Times New Roman" w:cs="Times New Roman"/>
        </w:rPr>
        <w:t> :</w:t>
      </w:r>
      <w:r w:rsidR="00555EC5">
        <w:rPr>
          <w:rFonts w:ascii="Times New Roman" w:hAnsi="Times New Roman" w:cs="Times New Roman"/>
        </w:rPr>
        <w:t xml:space="preserve"> </w:t>
      </w:r>
      <w:r w:rsidR="00E57AA5">
        <w:rPr>
          <w:rFonts w:ascii="Times New Roman" w:hAnsi="Times New Roman" w:cs="Times New Roman"/>
        </w:rPr>
        <w:t xml:space="preserve"> </w:t>
      </w:r>
      <w:r w:rsidR="00555EC5">
        <w:rPr>
          <w:rFonts w:ascii="Times New Roman" w:hAnsi="Times New Roman" w:cs="Times New Roman"/>
        </w:rPr>
        <w:t>le</w:t>
      </w:r>
      <w:r w:rsidR="00E57AA5">
        <w:rPr>
          <w:rFonts w:ascii="Times New Roman" w:hAnsi="Times New Roman" w:cs="Times New Roman"/>
        </w:rPr>
        <w:t xml:space="preserve"> nombre </w:t>
      </w:r>
      <w:r w:rsidR="00555EC5">
        <w:rPr>
          <w:rFonts w:ascii="Times New Roman" w:hAnsi="Times New Roman" w:cs="Times New Roman"/>
        </w:rPr>
        <w:t xml:space="preserve">maximal </w:t>
      </w:r>
      <w:r w:rsidR="00E57AA5">
        <w:rPr>
          <w:rFonts w:ascii="Times New Roman" w:hAnsi="Times New Roman" w:cs="Times New Roman"/>
        </w:rPr>
        <w:t>de vice-présidents correspond</w:t>
      </w:r>
      <w:r w:rsidR="00555EC5">
        <w:rPr>
          <w:rFonts w:ascii="Times New Roman" w:hAnsi="Times New Roman" w:cs="Times New Roman"/>
        </w:rPr>
        <w:t xml:space="preserve"> en effet</w:t>
      </w:r>
      <w:r w:rsidR="00E57AA5">
        <w:rPr>
          <w:rFonts w:ascii="Times New Roman" w:hAnsi="Times New Roman" w:cs="Times New Roman"/>
        </w:rPr>
        <w:t xml:space="preserve"> à 20% de cet effectif (arrondi à l’entier supérieur), </w:t>
      </w:r>
      <w:r w:rsidR="00555EC5">
        <w:rPr>
          <w:rFonts w:ascii="Times New Roman" w:hAnsi="Times New Roman" w:cs="Times New Roman"/>
        </w:rPr>
        <w:t xml:space="preserve">et </w:t>
      </w:r>
      <w:r w:rsidR="00E57AA5">
        <w:rPr>
          <w:rFonts w:ascii="Times New Roman" w:hAnsi="Times New Roman" w:cs="Times New Roman"/>
        </w:rPr>
        <w:t>ne peut supérieur à 15</w:t>
      </w:r>
      <w:r w:rsidR="00660165">
        <w:rPr>
          <w:rFonts w:ascii="Times New Roman" w:hAnsi="Times New Roman" w:cs="Times New Roman"/>
        </w:rPr>
        <w:t>. Pour les métropoles</w:t>
      </w:r>
      <w:r w:rsidR="00555EC5">
        <w:rPr>
          <w:rFonts w:ascii="Times New Roman" w:hAnsi="Times New Roman" w:cs="Times New Roman"/>
        </w:rPr>
        <w:t xml:space="preserve"> néanmoins</w:t>
      </w:r>
      <w:r w:rsidR="00660165">
        <w:rPr>
          <w:rFonts w:ascii="Times New Roman" w:hAnsi="Times New Roman" w:cs="Times New Roman"/>
        </w:rPr>
        <w:t xml:space="preserve">, </w:t>
      </w:r>
      <w:r w:rsidR="00555EC5">
        <w:rPr>
          <w:rFonts w:ascii="Times New Roman" w:hAnsi="Times New Roman" w:cs="Times New Roman"/>
        </w:rPr>
        <w:t>il</w:t>
      </w:r>
      <w:r w:rsidR="00660165">
        <w:rPr>
          <w:rFonts w:ascii="Times New Roman" w:hAnsi="Times New Roman" w:cs="Times New Roman"/>
        </w:rPr>
        <w:t xml:space="preserve"> est fixé à 20 (article L. 5211-10, 2è et 3è alinéas)</w:t>
      </w:r>
      <w:r w:rsidR="00660165">
        <w:rPr>
          <w:rStyle w:val="Appelnotedebasdep"/>
          <w:rFonts w:ascii="Times New Roman" w:hAnsi="Times New Roman" w:cs="Times New Roman"/>
        </w:rPr>
        <w:footnoteReference w:id="1"/>
      </w:r>
      <w:r w:rsidR="00660165">
        <w:rPr>
          <w:rFonts w:ascii="Times New Roman" w:hAnsi="Times New Roman" w:cs="Times New Roman"/>
        </w:rPr>
        <w:t>.</w:t>
      </w:r>
    </w:p>
    <w:p w:rsidR="00660165" w:rsidRDefault="00660165">
      <w:pPr>
        <w:rPr>
          <w:rFonts w:ascii="Times New Roman" w:hAnsi="Times New Roman" w:cs="Times New Roman"/>
        </w:rPr>
      </w:pPr>
      <w:r>
        <w:rPr>
          <w:rFonts w:ascii="Times New Roman" w:hAnsi="Times New Roman" w:cs="Times New Roman"/>
        </w:rPr>
        <w:t xml:space="preserve">Si le nombre élu de vice-présidents est inférieur </w:t>
      </w:r>
      <w:r w:rsidR="003C046C">
        <w:rPr>
          <w:rFonts w:ascii="Times New Roman" w:hAnsi="Times New Roman" w:cs="Times New Roman"/>
        </w:rPr>
        <w:t>au</w:t>
      </w:r>
      <w:r>
        <w:rPr>
          <w:rFonts w:ascii="Times New Roman" w:hAnsi="Times New Roman" w:cs="Times New Roman"/>
        </w:rPr>
        <w:t xml:space="preserve"> nombre</w:t>
      </w:r>
      <w:r w:rsidR="003C046C">
        <w:rPr>
          <w:rFonts w:ascii="Times New Roman" w:hAnsi="Times New Roman" w:cs="Times New Roman"/>
        </w:rPr>
        <w:t xml:space="preserve"> maximal autorisé en fonction de la strate</w:t>
      </w:r>
      <w:r>
        <w:rPr>
          <w:rFonts w:ascii="Times New Roman" w:hAnsi="Times New Roman" w:cs="Times New Roman"/>
        </w:rPr>
        <w:t xml:space="preserve">, </w:t>
      </w:r>
      <w:r w:rsidR="003C046C">
        <w:rPr>
          <w:rFonts w:ascii="Times New Roman" w:hAnsi="Times New Roman" w:cs="Times New Roman"/>
        </w:rPr>
        <w:t xml:space="preserve">l’enveloppe est calculée sur </w:t>
      </w:r>
      <w:r>
        <w:rPr>
          <w:rFonts w:ascii="Times New Roman" w:hAnsi="Times New Roman" w:cs="Times New Roman"/>
        </w:rPr>
        <w:t>le nombre réel</w:t>
      </w:r>
      <w:r w:rsidR="001306AE">
        <w:rPr>
          <w:rFonts w:ascii="Times New Roman" w:hAnsi="Times New Roman" w:cs="Times New Roman"/>
        </w:rPr>
        <w:t xml:space="preserve"> </w:t>
      </w:r>
      <w:r w:rsidR="003C046C">
        <w:rPr>
          <w:rFonts w:ascii="Times New Roman" w:hAnsi="Times New Roman" w:cs="Times New Roman"/>
        </w:rPr>
        <w:t>de vice-présidents</w:t>
      </w:r>
      <w:r>
        <w:rPr>
          <w:rFonts w:ascii="Times New Roman" w:hAnsi="Times New Roman" w:cs="Times New Roman"/>
        </w:rPr>
        <w:t xml:space="preserve">. </w:t>
      </w:r>
      <w:r w:rsidR="003C046C">
        <w:rPr>
          <w:rFonts w:ascii="Times New Roman" w:hAnsi="Times New Roman" w:cs="Times New Roman"/>
        </w:rPr>
        <w:t>A titre d’exemple, u</w:t>
      </w:r>
      <w:r>
        <w:rPr>
          <w:rFonts w:ascii="Times New Roman" w:hAnsi="Times New Roman" w:cs="Times New Roman"/>
        </w:rPr>
        <w:t>n EPCI pouvant élire 10 vice-présidents, mais qui choisit de n’en désigner que 8, verra son enveloppe indemnitaire calculée sur la base de 8 vice-présidences, et non 10.</w:t>
      </w:r>
    </w:p>
    <w:p w:rsidR="00660165" w:rsidRDefault="00660165">
      <w:pPr>
        <w:rPr>
          <w:rFonts w:ascii="Times New Roman" w:hAnsi="Times New Roman" w:cs="Times New Roman"/>
        </w:rPr>
      </w:pPr>
    </w:p>
    <w:p w:rsidR="00660165" w:rsidRPr="00660165" w:rsidRDefault="00660165">
      <w:pPr>
        <w:rPr>
          <w:rFonts w:ascii="Times New Roman" w:hAnsi="Times New Roman" w:cs="Times New Roman"/>
          <w:b/>
          <w:bCs/>
          <w:u w:val="single"/>
        </w:rPr>
      </w:pPr>
      <w:r w:rsidRPr="00660165">
        <w:rPr>
          <w:rFonts w:ascii="Times New Roman" w:hAnsi="Times New Roman" w:cs="Times New Roman"/>
          <w:b/>
          <w:bCs/>
          <w:u w:val="single"/>
        </w:rPr>
        <w:t>Variation des effectifs du conseil des EPCI-FP</w:t>
      </w:r>
    </w:p>
    <w:p w:rsidR="00A26E7A" w:rsidRDefault="00660165">
      <w:pPr>
        <w:rPr>
          <w:rFonts w:ascii="Times New Roman" w:hAnsi="Times New Roman" w:cs="Times New Roman"/>
        </w:rPr>
      </w:pPr>
      <w:r>
        <w:rPr>
          <w:rFonts w:ascii="Times New Roman" w:hAnsi="Times New Roman" w:cs="Times New Roman"/>
        </w:rPr>
        <w:t xml:space="preserve">Ce coefficient de 20% maximum </w:t>
      </w:r>
      <w:r w:rsidR="003C046C">
        <w:rPr>
          <w:rFonts w:ascii="Times New Roman" w:hAnsi="Times New Roman" w:cs="Times New Roman"/>
        </w:rPr>
        <w:t xml:space="preserve">applicable aux vice-présidents </w:t>
      </w:r>
      <w:r>
        <w:rPr>
          <w:rFonts w:ascii="Times New Roman" w:hAnsi="Times New Roman" w:cs="Times New Roman"/>
        </w:rPr>
        <w:t>n’est toutefois pas toujours appliqué à l’effectif réel de l’organe délibérant. L’article L. 5211-12 précise en effet qu’il doit être appliqué au conseil « qui comporterait un nombre de membres déterminé en application des III à VI de l’article L. 5211-6-1 » du CGCT.</w:t>
      </w:r>
      <w:r w:rsidR="00A26E7A">
        <w:rPr>
          <w:rFonts w:ascii="Times New Roman" w:hAnsi="Times New Roman" w:cs="Times New Roman"/>
        </w:rPr>
        <w:t xml:space="preserve"> Ce dernier article est donc celui auquel il convient de se référer pour déterminer le nombre de conseillers à prendre en compte, pour ensuite </w:t>
      </w:r>
      <w:r w:rsidR="00E44093">
        <w:rPr>
          <w:rFonts w:ascii="Times New Roman" w:hAnsi="Times New Roman" w:cs="Times New Roman"/>
        </w:rPr>
        <w:t>en déduire</w:t>
      </w:r>
      <w:r w:rsidR="00A26E7A">
        <w:rPr>
          <w:rFonts w:ascii="Times New Roman" w:hAnsi="Times New Roman" w:cs="Times New Roman"/>
        </w:rPr>
        <w:t xml:space="preserve"> le nombre maximal de vice-présidents contribuant à l’enveloppe indemnitaire.</w:t>
      </w:r>
    </w:p>
    <w:p w:rsidR="00A26E7A" w:rsidRDefault="00A26E7A">
      <w:pPr>
        <w:rPr>
          <w:rFonts w:ascii="Times New Roman" w:hAnsi="Times New Roman" w:cs="Times New Roman"/>
        </w:rPr>
      </w:pPr>
    </w:p>
    <w:p w:rsidR="00A26E7A" w:rsidRPr="00A26E7A" w:rsidRDefault="00A26E7A" w:rsidP="00A26E7A">
      <w:pPr>
        <w:pStyle w:val="Paragraphedeliste"/>
        <w:numPr>
          <w:ilvl w:val="0"/>
          <w:numId w:val="1"/>
        </w:numPr>
        <w:rPr>
          <w:rFonts w:ascii="Times New Roman" w:hAnsi="Times New Roman" w:cs="Times New Roman"/>
          <w:b/>
          <w:bCs/>
        </w:rPr>
      </w:pPr>
      <w:r w:rsidRPr="00A26E7A">
        <w:rPr>
          <w:rFonts w:ascii="Times New Roman" w:hAnsi="Times New Roman" w:cs="Times New Roman"/>
          <w:b/>
          <w:bCs/>
        </w:rPr>
        <w:t>L</w:t>
      </w:r>
      <w:r w:rsidR="006A14D8">
        <w:rPr>
          <w:rFonts w:ascii="Times New Roman" w:hAnsi="Times New Roman" w:cs="Times New Roman"/>
          <w:b/>
          <w:bCs/>
        </w:rPr>
        <w:t xml:space="preserve">a composition des conseils communautaires est prévue par les III à V </w:t>
      </w:r>
      <w:r w:rsidRPr="00A26E7A">
        <w:rPr>
          <w:rFonts w:ascii="Times New Roman" w:hAnsi="Times New Roman" w:cs="Times New Roman"/>
          <w:b/>
          <w:bCs/>
        </w:rPr>
        <w:t>de l’article L. 5211-6-1</w:t>
      </w:r>
    </w:p>
    <w:p w:rsidR="00E44093" w:rsidRDefault="00A26E7A" w:rsidP="00E44093">
      <w:pPr>
        <w:rPr>
          <w:rFonts w:ascii="Times New Roman" w:hAnsi="Times New Roman" w:cs="Times New Roman"/>
        </w:rPr>
      </w:pPr>
      <w:r>
        <w:rPr>
          <w:rFonts w:ascii="Times New Roman" w:hAnsi="Times New Roman" w:cs="Times New Roman"/>
        </w:rPr>
        <w:t xml:space="preserve">Le </w:t>
      </w:r>
      <w:r w:rsidRPr="00E44093">
        <w:rPr>
          <w:rFonts w:ascii="Times New Roman" w:hAnsi="Times New Roman" w:cs="Times New Roman"/>
          <w:b/>
          <w:bCs/>
        </w:rPr>
        <w:t>III</w:t>
      </w:r>
      <w:r>
        <w:rPr>
          <w:rFonts w:ascii="Times New Roman" w:hAnsi="Times New Roman" w:cs="Times New Roman"/>
        </w:rPr>
        <w:t xml:space="preserve"> de cet article détermine l’effectif de l’organe délibérant selon la strate démographique à laquelle appartient l’EPCI. </w:t>
      </w:r>
    </w:p>
    <w:p w:rsidR="00E44093" w:rsidRDefault="00A26E7A" w:rsidP="00E44093">
      <w:pPr>
        <w:rPr>
          <w:rFonts w:ascii="Times New Roman" w:hAnsi="Times New Roman" w:cs="Times New Roman"/>
        </w:rPr>
      </w:pPr>
      <w:r>
        <w:rPr>
          <w:rFonts w:ascii="Times New Roman" w:hAnsi="Times New Roman" w:cs="Times New Roman"/>
        </w:rPr>
        <w:t xml:space="preserve">Le </w:t>
      </w:r>
      <w:r w:rsidRPr="00E44093">
        <w:rPr>
          <w:rFonts w:ascii="Times New Roman" w:hAnsi="Times New Roman" w:cs="Times New Roman"/>
          <w:b/>
          <w:bCs/>
        </w:rPr>
        <w:t>IV</w:t>
      </w:r>
      <w:r>
        <w:rPr>
          <w:rFonts w:ascii="Times New Roman" w:hAnsi="Times New Roman" w:cs="Times New Roman"/>
        </w:rPr>
        <w:t xml:space="preserve"> en définit les modalités de répartition</w:t>
      </w:r>
      <w:r w:rsidR="00E44093">
        <w:rPr>
          <w:rStyle w:val="Appelnotedebasdep"/>
          <w:rFonts w:ascii="Times New Roman" w:hAnsi="Times New Roman" w:cs="Times New Roman"/>
        </w:rPr>
        <w:footnoteReference w:id="2"/>
      </w:r>
      <w:r>
        <w:rPr>
          <w:rFonts w:ascii="Times New Roman" w:hAnsi="Times New Roman" w:cs="Times New Roman"/>
        </w:rPr>
        <w:t xml:space="preserve">. </w:t>
      </w:r>
      <w:r w:rsidR="00DA3B15">
        <w:rPr>
          <w:rFonts w:ascii="Times New Roman" w:hAnsi="Times New Roman" w:cs="Times New Roman"/>
        </w:rPr>
        <w:t>D</w:t>
      </w:r>
      <w:r w:rsidR="00E44093">
        <w:rPr>
          <w:rFonts w:ascii="Times New Roman" w:hAnsi="Times New Roman" w:cs="Times New Roman"/>
        </w:rPr>
        <w:t xml:space="preserve">eux </w:t>
      </w:r>
      <w:r>
        <w:rPr>
          <w:rFonts w:ascii="Times New Roman" w:hAnsi="Times New Roman" w:cs="Times New Roman"/>
        </w:rPr>
        <w:t xml:space="preserve">de ces dispositions </w:t>
      </w:r>
      <w:r w:rsidR="00E44093">
        <w:rPr>
          <w:rFonts w:ascii="Times New Roman" w:hAnsi="Times New Roman" w:cs="Times New Roman"/>
        </w:rPr>
        <w:t>sont</w:t>
      </w:r>
      <w:r>
        <w:rPr>
          <w:rFonts w:ascii="Times New Roman" w:hAnsi="Times New Roman" w:cs="Times New Roman"/>
        </w:rPr>
        <w:t xml:space="preserve"> susceptible</w:t>
      </w:r>
      <w:r w:rsidR="00E44093">
        <w:rPr>
          <w:rFonts w:ascii="Times New Roman" w:hAnsi="Times New Roman" w:cs="Times New Roman"/>
        </w:rPr>
        <w:t>s</w:t>
      </w:r>
      <w:r>
        <w:rPr>
          <w:rFonts w:ascii="Times New Roman" w:hAnsi="Times New Roman" w:cs="Times New Roman"/>
        </w:rPr>
        <w:t xml:space="preserve"> d’avoir un impact sur le nombre total de conseillers : </w:t>
      </w:r>
    </w:p>
    <w:p w:rsidR="00A26E7A" w:rsidRDefault="00E44093" w:rsidP="00E44093">
      <w:pPr>
        <w:pStyle w:val="Paragraphedeliste"/>
        <w:numPr>
          <w:ilvl w:val="0"/>
          <w:numId w:val="4"/>
        </w:numPr>
        <w:rPr>
          <w:rFonts w:ascii="Times New Roman" w:hAnsi="Times New Roman" w:cs="Times New Roman"/>
        </w:rPr>
      </w:pPr>
      <w:r>
        <w:rPr>
          <w:rFonts w:ascii="Times New Roman" w:hAnsi="Times New Roman" w:cs="Times New Roman"/>
        </w:rPr>
        <w:t>S</w:t>
      </w:r>
      <w:r w:rsidR="00A26E7A" w:rsidRPr="00E44093">
        <w:rPr>
          <w:rFonts w:ascii="Times New Roman" w:hAnsi="Times New Roman" w:cs="Times New Roman"/>
        </w:rPr>
        <w:t>i des communes ne disposent d’aucun siège, elles se voient automatiquement attribuer un siège supplémentaire, au-delà de l’effectif fixé pour la strate de l’EPCI</w:t>
      </w:r>
      <w:r w:rsidRPr="00E44093">
        <w:rPr>
          <w:rFonts w:ascii="Times New Roman" w:hAnsi="Times New Roman" w:cs="Times New Roman"/>
        </w:rPr>
        <w:t xml:space="preserve"> (par convenance, cette catégorie de sièges sera désignée comme les « sièges </w:t>
      </w:r>
      <w:r w:rsidR="00704D66">
        <w:rPr>
          <w:rFonts w:ascii="Times New Roman" w:hAnsi="Times New Roman" w:cs="Times New Roman"/>
        </w:rPr>
        <w:t>forfaitaires</w:t>
      </w:r>
      <w:r w:rsidR="00704D66" w:rsidRPr="00E44093">
        <w:rPr>
          <w:rFonts w:ascii="Times New Roman" w:hAnsi="Times New Roman" w:cs="Times New Roman"/>
        </w:rPr>
        <w:t> </w:t>
      </w:r>
      <w:r w:rsidRPr="00E44093">
        <w:rPr>
          <w:rFonts w:ascii="Times New Roman" w:hAnsi="Times New Roman" w:cs="Times New Roman"/>
        </w:rPr>
        <w:t>»).</w:t>
      </w:r>
    </w:p>
    <w:p w:rsidR="00E44093" w:rsidRDefault="00E44093" w:rsidP="00E44093">
      <w:pPr>
        <w:pStyle w:val="Paragraphedeliste"/>
        <w:numPr>
          <w:ilvl w:val="0"/>
          <w:numId w:val="4"/>
        </w:numPr>
        <w:rPr>
          <w:rFonts w:ascii="Times New Roman" w:hAnsi="Times New Roman" w:cs="Times New Roman"/>
        </w:rPr>
      </w:pPr>
      <w:r w:rsidRPr="00E44093">
        <w:rPr>
          <w:rFonts w:ascii="Times New Roman" w:hAnsi="Times New Roman" w:cs="Times New Roman"/>
        </w:rPr>
        <w:t xml:space="preserve">En outre, en cas d’égalité entre </w:t>
      </w:r>
      <w:r>
        <w:rPr>
          <w:rFonts w:ascii="Times New Roman" w:hAnsi="Times New Roman" w:cs="Times New Roman"/>
        </w:rPr>
        <w:t>des</w:t>
      </w:r>
      <w:r w:rsidRPr="00E44093">
        <w:rPr>
          <w:rFonts w:ascii="Times New Roman" w:hAnsi="Times New Roman" w:cs="Times New Roman"/>
        </w:rPr>
        <w:t xml:space="preserve"> communes pour l’attribution du dernier siège à la proportionnelle, </w:t>
      </w:r>
      <w:r>
        <w:rPr>
          <w:rFonts w:ascii="Times New Roman" w:hAnsi="Times New Roman" w:cs="Times New Roman"/>
        </w:rPr>
        <w:t>chacune</w:t>
      </w:r>
      <w:r w:rsidRPr="00E44093">
        <w:rPr>
          <w:rFonts w:ascii="Times New Roman" w:hAnsi="Times New Roman" w:cs="Times New Roman"/>
        </w:rPr>
        <w:t xml:space="preserve"> se voit attribuer un siège.</w:t>
      </w:r>
    </w:p>
    <w:p w:rsidR="0023447E" w:rsidRPr="0023447E" w:rsidRDefault="0023447E" w:rsidP="0023447E">
      <w:pPr>
        <w:rPr>
          <w:rFonts w:ascii="Times New Roman" w:hAnsi="Times New Roman" w:cs="Times New Roman"/>
        </w:rPr>
      </w:pPr>
      <w:r>
        <w:rPr>
          <w:rFonts w:ascii="Times New Roman" w:hAnsi="Times New Roman" w:cs="Times New Roman"/>
        </w:rPr>
        <w:t xml:space="preserve">Le </w:t>
      </w:r>
      <w:r w:rsidRPr="000C2368">
        <w:rPr>
          <w:rFonts w:ascii="Times New Roman" w:hAnsi="Times New Roman" w:cs="Times New Roman"/>
          <w:b/>
          <w:bCs/>
        </w:rPr>
        <w:t>V</w:t>
      </w:r>
      <w:r>
        <w:rPr>
          <w:rFonts w:ascii="Times New Roman" w:hAnsi="Times New Roman" w:cs="Times New Roman"/>
        </w:rPr>
        <w:t xml:space="preserve"> permet, dans certaines conditions, une majoration de 10 % du nombre de sièges</w:t>
      </w:r>
    </w:p>
    <w:p w:rsidR="0023447E" w:rsidRDefault="0023447E" w:rsidP="0023447E">
      <w:pPr>
        <w:pStyle w:val="Paragraphedeliste"/>
        <w:numPr>
          <w:ilvl w:val="0"/>
          <w:numId w:val="4"/>
        </w:numPr>
        <w:rPr>
          <w:rFonts w:ascii="Times New Roman" w:hAnsi="Times New Roman" w:cs="Times New Roman"/>
        </w:rPr>
      </w:pPr>
      <w:r>
        <w:rPr>
          <w:rFonts w:ascii="Times New Roman" w:hAnsi="Times New Roman" w:cs="Times New Roman"/>
        </w:rPr>
        <w:t xml:space="preserve">Dans les EPCI-FP (sauf métropoles) où le nombre de « sièges </w:t>
      </w:r>
      <w:r w:rsidR="00704D66">
        <w:rPr>
          <w:rFonts w:ascii="Times New Roman" w:hAnsi="Times New Roman" w:cs="Times New Roman"/>
        </w:rPr>
        <w:t>forfaitaires </w:t>
      </w:r>
      <w:r>
        <w:rPr>
          <w:rFonts w:ascii="Times New Roman" w:hAnsi="Times New Roman" w:cs="Times New Roman"/>
        </w:rPr>
        <w:t xml:space="preserve">» représente plus de 30% de l’effectif défini par le III (effectif par strate avant application des dispositions du IV), le nombre total de sièges de l’organe délibérant doit être majoré de 10% du nombre de sièges obtenus après application du IV (et non de 10% du barème du III). </w:t>
      </w:r>
    </w:p>
    <w:p w:rsidR="006A14D8" w:rsidRDefault="006A14D8" w:rsidP="00E44093">
      <w:pPr>
        <w:rPr>
          <w:rFonts w:ascii="Times New Roman" w:hAnsi="Times New Roman" w:cs="Times New Roman"/>
        </w:rPr>
      </w:pPr>
    </w:p>
    <w:p w:rsidR="006A14D8" w:rsidRDefault="006A14D8" w:rsidP="006A14D8">
      <w:pPr>
        <w:pStyle w:val="Paragraphedeliste"/>
        <w:numPr>
          <w:ilvl w:val="0"/>
          <w:numId w:val="1"/>
        </w:numPr>
        <w:rPr>
          <w:rFonts w:ascii="Times New Roman" w:hAnsi="Times New Roman" w:cs="Times New Roman"/>
          <w:b/>
          <w:bCs/>
        </w:rPr>
      </w:pPr>
      <w:r w:rsidRPr="004E5607">
        <w:rPr>
          <w:rFonts w:ascii="Times New Roman" w:hAnsi="Times New Roman" w:cs="Times New Roman"/>
          <w:b/>
          <w:bCs/>
        </w:rPr>
        <w:t xml:space="preserve">Le cas des « accords locaux » prévus au </w:t>
      </w:r>
      <w:r>
        <w:rPr>
          <w:rFonts w:ascii="Times New Roman" w:hAnsi="Times New Roman" w:cs="Times New Roman"/>
          <w:b/>
          <w:bCs/>
        </w:rPr>
        <w:t>VI</w:t>
      </w:r>
      <w:r w:rsidRPr="004E5607">
        <w:rPr>
          <w:rFonts w:ascii="Times New Roman" w:hAnsi="Times New Roman" w:cs="Times New Roman"/>
          <w:b/>
          <w:bCs/>
        </w:rPr>
        <w:t xml:space="preserve"> de l’article L. 5211-6-1</w:t>
      </w:r>
    </w:p>
    <w:p w:rsidR="006A14D8" w:rsidRDefault="006A14D8" w:rsidP="006A14D8">
      <w:pPr>
        <w:pStyle w:val="Paragraphedeliste"/>
        <w:rPr>
          <w:rFonts w:ascii="Times New Roman" w:hAnsi="Times New Roman" w:cs="Times New Roman"/>
        </w:rPr>
      </w:pPr>
    </w:p>
    <w:p w:rsidR="00E44093" w:rsidRPr="0023447E" w:rsidRDefault="00E44093" w:rsidP="0023447E">
      <w:pPr>
        <w:rPr>
          <w:rFonts w:ascii="Times New Roman" w:hAnsi="Times New Roman" w:cs="Times New Roman"/>
        </w:rPr>
      </w:pPr>
      <w:r w:rsidRPr="0023447E">
        <w:rPr>
          <w:rFonts w:ascii="Times New Roman" w:hAnsi="Times New Roman" w:cs="Times New Roman"/>
        </w:rPr>
        <w:t xml:space="preserve">Pour les EPCI (métropoles incluses) qui n’ont pas eu à faire application des dispositions du V, il reste possible de majorer le nombre total de sièges de 10% supplémentaires </w:t>
      </w:r>
      <w:r w:rsidR="004E5607" w:rsidRPr="0023447E">
        <w:rPr>
          <w:rFonts w:ascii="Times New Roman" w:hAnsi="Times New Roman" w:cs="Times New Roman"/>
        </w:rPr>
        <w:t>(en prenant pour base, là encore, le nombre total de sièges obtenu après application du III et du IV)</w:t>
      </w:r>
      <w:r w:rsidR="00A4528E">
        <w:rPr>
          <w:rFonts w:ascii="Times New Roman" w:hAnsi="Times New Roman" w:cs="Times New Roman"/>
        </w:rPr>
        <w:t xml:space="preserve"> (situation parfois désignée </w:t>
      </w:r>
      <w:r w:rsidR="004E5607" w:rsidRPr="0023447E">
        <w:rPr>
          <w:rFonts w:ascii="Times New Roman" w:hAnsi="Times New Roman" w:cs="Times New Roman"/>
        </w:rPr>
        <w:t>comme des « mini-accords locaux 10% »</w:t>
      </w:r>
      <w:r w:rsidR="00A4528E">
        <w:rPr>
          <w:rFonts w:ascii="Times New Roman" w:hAnsi="Times New Roman" w:cs="Times New Roman"/>
        </w:rPr>
        <w:t>)</w:t>
      </w:r>
      <w:r w:rsidR="004E5607" w:rsidRPr="0023447E">
        <w:rPr>
          <w:rFonts w:ascii="Times New Roman" w:hAnsi="Times New Roman" w:cs="Times New Roman"/>
        </w:rPr>
        <w:t>.</w:t>
      </w:r>
    </w:p>
    <w:p w:rsidR="004E5607" w:rsidRDefault="004E5607" w:rsidP="004E5607">
      <w:pPr>
        <w:rPr>
          <w:rFonts w:ascii="Times New Roman" w:hAnsi="Times New Roman" w:cs="Times New Roman"/>
        </w:rPr>
      </w:pPr>
    </w:p>
    <w:p w:rsidR="004E5607" w:rsidRDefault="004E5607" w:rsidP="004E5607">
      <w:pPr>
        <w:rPr>
          <w:rFonts w:ascii="Times New Roman" w:hAnsi="Times New Roman" w:cs="Times New Roman"/>
        </w:rPr>
      </w:pPr>
      <w:r>
        <w:rPr>
          <w:rFonts w:ascii="Times New Roman" w:hAnsi="Times New Roman" w:cs="Times New Roman"/>
        </w:rPr>
        <w:t xml:space="preserve">Le V. est donc une obligation (pour les EPCI concernés), tandis que les VI est une faculté, mais leur effet ne peut être cumulé. </w:t>
      </w:r>
      <w:r w:rsidRPr="004E5607">
        <w:rPr>
          <w:rFonts w:ascii="Times New Roman" w:hAnsi="Times New Roman" w:cs="Times New Roman"/>
          <w:b/>
          <w:bCs/>
        </w:rPr>
        <w:t>Ainsi, l’effectif total de l’EPCI ne pourra jamais dépasser, dans ce cadre, 110% du nombre total de sièges obtenus après application du III et du IV</w:t>
      </w:r>
      <w:r>
        <w:rPr>
          <w:rFonts w:ascii="Times New Roman" w:hAnsi="Times New Roman" w:cs="Times New Roman"/>
        </w:rPr>
        <w:t>.</w:t>
      </w:r>
    </w:p>
    <w:p w:rsidR="004E5607" w:rsidRDefault="004E5607" w:rsidP="004E5607">
      <w:pPr>
        <w:rPr>
          <w:rFonts w:ascii="Times New Roman" w:hAnsi="Times New Roman" w:cs="Times New Roman"/>
        </w:rPr>
      </w:pPr>
    </w:p>
    <w:p w:rsidR="004E5607" w:rsidRDefault="004E5607" w:rsidP="004E5607">
      <w:pPr>
        <w:pStyle w:val="Paragraphedeliste"/>
        <w:numPr>
          <w:ilvl w:val="0"/>
          <w:numId w:val="1"/>
        </w:numPr>
        <w:rPr>
          <w:rFonts w:ascii="Times New Roman" w:hAnsi="Times New Roman" w:cs="Times New Roman"/>
          <w:b/>
          <w:bCs/>
        </w:rPr>
      </w:pPr>
      <w:r w:rsidRPr="004E5607">
        <w:rPr>
          <w:rFonts w:ascii="Times New Roman" w:hAnsi="Times New Roman" w:cs="Times New Roman"/>
          <w:b/>
          <w:bCs/>
        </w:rPr>
        <w:t>Le cas des « accords locaux » prévus au 2° du I de l’article L. 5211-6-1</w:t>
      </w:r>
    </w:p>
    <w:p w:rsidR="004E5607" w:rsidRDefault="004E5607" w:rsidP="004E5607">
      <w:pPr>
        <w:rPr>
          <w:rFonts w:ascii="Times New Roman" w:hAnsi="Times New Roman" w:cs="Times New Roman"/>
        </w:rPr>
      </w:pPr>
      <w:r w:rsidRPr="004E5607">
        <w:rPr>
          <w:rFonts w:ascii="Times New Roman" w:hAnsi="Times New Roman" w:cs="Times New Roman"/>
        </w:rPr>
        <w:t>Le 2° du I de l’article L. 5211-6-1</w:t>
      </w:r>
      <w:r>
        <w:rPr>
          <w:rFonts w:ascii="Times New Roman" w:hAnsi="Times New Roman" w:cs="Times New Roman"/>
        </w:rPr>
        <w:t xml:space="preserve"> autorise néanmoins les communautés de communes et les communautés d’agglomération à choisir une autre modalité de répartition des sièges au sein de l’organe délibérant. Ces EPCI peuvent ainsi s’extraire des règles fixées par les dispositions du III au VI pour définir la répartition des sièges selon un « accord local ». Parmi les conditions qui s’imposent à ces accords locaux, le </w:t>
      </w:r>
      <w:r w:rsidRPr="004E5607">
        <w:rPr>
          <w:rFonts w:ascii="Times New Roman" w:hAnsi="Times New Roman" w:cs="Times New Roman"/>
          <w:i/>
          <w:iCs/>
        </w:rPr>
        <w:t>a)</w:t>
      </w:r>
      <w:r>
        <w:rPr>
          <w:rFonts w:ascii="Times New Roman" w:hAnsi="Times New Roman" w:cs="Times New Roman"/>
        </w:rPr>
        <w:t xml:space="preserve"> précise que </w:t>
      </w:r>
      <w:r w:rsidRPr="004E5607">
        <w:rPr>
          <w:rFonts w:ascii="Times New Roman" w:hAnsi="Times New Roman" w:cs="Times New Roman"/>
          <w:b/>
          <w:bCs/>
        </w:rPr>
        <w:t>le nombre total de sièges qui en résultent ne peut pas excéder de plus de 25% celui qui aurait découlé de l’application du III et du IV</w:t>
      </w:r>
      <w:r>
        <w:rPr>
          <w:rFonts w:ascii="Times New Roman" w:hAnsi="Times New Roman" w:cs="Times New Roman"/>
        </w:rPr>
        <w:t xml:space="preserve">. </w:t>
      </w:r>
    </w:p>
    <w:p w:rsidR="004E5607" w:rsidRDefault="004E5607" w:rsidP="004E5607">
      <w:pPr>
        <w:rPr>
          <w:rFonts w:ascii="Times New Roman" w:hAnsi="Times New Roman" w:cs="Times New Roman"/>
        </w:rPr>
      </w:pPr>
    </w:p>
    <w:p w:rsidR="00555EC5" w:rsidRDefault="00555EC5" w:rsidP="004E5607">
      <w:pPr>
        <w:rPr>
          <w:rFonts w:ascii="Times New Roman" w:hAnsi="Times New Roman" w:cs="Times New Roman"/>
        </w:rPr>
      </w:pPr>
      <w:r>
        <w:rPr>
          <w:rFonts w:ascii="Times New Roman" w:hAnsi="Times New Roman" w:cs="Times New Roman"/>
        </w:rPr>
        <w:t>En outre, la conclusion d’un tel « accord local 25% » rend l’EPCI</w:t>
      </w:r>
      <w:r w:rsidR="00DA3B15">
        <w:rPr>
          <w:rFonts w:ascii="Times New Roman" w:hAnsi="Times New Roman" w:cs="Times New Roman"/>
        </w:rPr>
        <w:t>-FP</w:t>
      </w:r>
      <w:r>
        <w:rPr>
          <w:rFonts w:ascii="Times New Roman" w:hAnsi="Times New Roman" w:cs="Times New Roman"/>
        </w:rPr>
        <w:t xml:space="preserve"> inéligible au V et au VI (majorations de 10%). </w:t>
      </w:r>
    </w:p>
    <w:p w:rsidR="00555EC5" w:rsidRDefault="00555EC5" w:rsidP="004E5607">
      <w:pPr>
        <w:rPr>
          <w:rFonts w:ascii="Times New Roman" w:hAnsi="Times New Roman" w:cs="Times New Roman"/>
        </w:rPr>
      </w:pPr>
    </w:p>
    <w:p w:rsidR="00555EC5" w:rsidRPr="00555EC5" w:rsidRDefault="00555EC5" w:rsidP="00555EC5">
      <w:pPr>
        <w:pStyle w:val="Paragraphedeliste"/>
        <w:numPr>
          <w:ilvl w:val="0"/>
          <w:numId w:val="1"/>
        </w:numPr>
        <w:rPr>
          <w:rFonts w:ascii="Times New Roman" w:hAnsi="Times New Roman" w:cs="Times New Roman"/>
          <w:b/>
          <w:bCs/>
        </w:rPr>
      </w:pPr>
      <w:r w:rsidRPr="00555EC5">
        <w:rPr>
          <w:rFonts w:ascii="Times New Roman" w:hAnsi="Times New Roman" w:cs="Times New Roman"/>
          <w:b/>
          <w:bCs/>
        </w:rPr>
        <w:t>Synthèse : effectif maximum de l’organe délibérant d’un EPCI</w:t>
      </w:r>
      <w:r w:rsidR="00DA3B15">
        <w:rPr>
          <w:rFonts w:ascii="Times New Roman" w:hAnsi="Times New Roman" w:cs="Times New Roman"/>
          <w:b/>
          <w:bCs/>
        </w:rPr>
        <w:t>-FP</w:t>
      </w:r>
    </w:p>
    <w:p w:rsidR="004E5607" w:rsidRDefault="004E5607" w:rsidP="004E5607">
      <w:pPr>
        <w:rPr>
          <w:rFonts w:ascii="Times New Roman" w:hAnsi="Times New Roman" w:cs="Times New Roman"/>
        </w:rPr>
      </w:pPr>
      <w:r>
        <w:rPr>
          <w:rFonts w:ascii="Times New Roman" w:hAnsi="Times New Roman" w:cs="Times New Roman"/>
        </w:rPr>
        <w:t>Il résulte de</w:t>
      </w:r>
      <w:r w:rsidR="00555EC5">
        <w:rPr>
          <w:rFonts w:ascii="Times New Roman" w:hAnsi="Times New Roman" w:cs="Times New Roman"/>
        </w:rPr>
        <w:t xml:space="preserve">s dispositions de l’article L. 5211-6-1 </w:t>
      </w:r>
      <w:r>
        <w:rPr>
          <w:rFonts w:ascii="Times New Roman" w:hAnsi="Times New Roman" w:cs="Times New Roman"/>
        </w:rPr>
        <w:t>que deux</w:t>
      </w:r>
      <w:r w:rsidR="00555EC5">
        <w:rPr>
          <w:rFonts w:ascii="Times New Roman" w:hAnsi="Times New Roman" w:cs="Times New Roman"/>
        </w:rPr>
        <w:t xml:space="preserve"> cas de figure peuvent se présenter :</w:t>
      </w:r>
    </w:p>
    <w:p w:rsidR="00555EC5" w:rsidRDefault="00555EC5" w:rsidP="00555EC5">
      <w:pPr>
        <w:pStyle w:val="Paragraphedeliste"/>
        <w:numPr>
          <w:ilvl w:val="0"/>
          <w:numId w:val="7"/>
        </w:numPr>
        <w:rPr>
          <w:rFonts w:ascii="Times New Roman" w:hAnsi="Times New Roman" w:cs="Times New Roman"/>
        </w:rPr>
      </w:pPr>
      <w:r>
        <w:rPr>
          <w:rFonts w:ascii="Times New Roman" w:hAnsi="Times New Roman" w:cs="Times New Roman"/>
        </w:rPr>
        <w:t>Soit l’EPCI</w:t>
      </w:r>
      <w:r w:rsidR="00DA3B15">
        <w:rPr>
          <w:rFonts w:ascii="Times New Roman" w:hAnsi="Times New Roman" w:cs="Times New Roman"/>
        </w:rPr>
        <w:t>-FP</w:t>
      </w:r>
      <w:r>
        <w:rPr>
          <w:rFonts w:ascii="Times New Roman" w:hAnsi="Times New Roman" w:cs="Times New Roman"/>
        </w:rPr>
        <w:t xml:space="preserve"> fait le choix de répartir les sièges selon le droit commun</w:t>
      </w:r>
      <w:r w:rsidR="0023447E">
        <w:rPr>
          <w:rFonts w:ascii="Times New Roman" w:hAnsi="Times New Roman" w:cs="Times New Roman"/>
        </w:rPr>
        <w:t xml:space="preserve"> ou via le recours au mini accord local à 10 %</w:t>
      </w:r>
      <w:r>
        <w:rPr>
          <w:rFonts w:ascii="Times New Roman" w:hAnsi="Times New Roman" w:cs="Times New Roman"/>
        </w:rPr>
        <w:t xml:space="preserve">, et son effectif total ne pourra alors jamais dépasser 110% de l’effectif qui résulte de l’application du III et du IV. La majoration de 10% est soit obligatoire (si les « sièges </w:t>
      </w:r>
      <w:r w:rsidR="00704D66">
        <w:rPr>
          <w:rFonts w:ascii="Times New Roman" w:hAnsi="Times New Roman" w:cs="Times New Roman"/>
        </w:rPr>
        <w:t>forfaitaires </w:t>
      </w:r>
      <w:r>
        <w:rPr>
          <w:rFonts w:ascii="Times New Roman" w:hAnsi="Times New Roman" w:cs="Times New Roman"/>
        </w:rPr>
        <w:t>» représentent plus de 30% de l’effectif prévu au III), soit facultative (</w:t>
      </w:r>
      <w:r w:rsidR="0023447E">
        <w:rPr>
          <w:rFonts w:ascii="Times New Roman" w:hAnsi="Times New Roman" w:cs="Times New Roman"/>
        </w:rPr>
        <w:t xml:space="preserve">cas du recours </w:t>
      </w:r>
      <w:r>
        <w:rPr>
          <w:rFonts w:ascii="Times New Roman" w:hAnsi="Times New Roman" w:cs="Times New Roman"/>
        </w:rPr>
        <w:t>« mini accord local 10% »)</w:t>
      </w:r>
      <w:r w:rsidR="00A83721">
        <w:rPr>
          <w:rFonts w:ascii="Times New Roman" w:hAnsi="Times New Roman" w:cs="Times New Roman"/>
        </w:rPr>
        <w:t>.</w:t>
      </w:r>
    </w:p>
    <w:p w:rsidR="00555EC5" w:rsidRDefault="00555EC5" w:rsidP="00555EC5">
      <w:pPr>
        <w:pStyle w:val="Paragraphedeliste"/>
        <w:numPr>
          <w:ilvl w:val="0"/>
          <w:numId w:val="7"/>
        </w:numPr>
        <w:rPr>
          <w:rFonts w:ascii="Times New Roman" w:hAnsi="Times New Roman" w:cs="Times New Roman"/>
        </w:rPr>
      </w:pPr>
      <w:r>
        <w:rPr>
          <w:rFonts w:ascii="Times New Roman" w:hAnsi="Times New Roman" w:cs="Times New Roman"/>
        </w:rPr>
        <w:t>Soit l’EPCI</w:t>
      </w:r>
      <w:r w:rsidR="00DA3B15">
        <w:rPr>
          <w:rFonts w:ascii="Times New Roman" w:hAnsi="Times New Roman" w:cs="Times New Roman"/>
        </w:rPr>
        <w:t>-FP</w:t>
      </w:r>
      <w:r>
        <w:rPr>
          <w:rFonts w:ascii="Times New Roman" w:hAnsi="Times New Roman" w:cs="Times New Roman"/>
        </w:rPr>
        <w:t xml:space="preserve"> </w:t>
      </w:r>
      <w:r w:rsidR="0023447E">
        <w:rPr>
          <w:rFonts w:ascii="Times New Roman" w:hAnsi="Times New Roman" w:cs="Times New Roman"/>
        </w:rPr>
        <w:t xml:space="preserve">(uniquement les CC et les CA) </w:t>
      </w:r>
      <w:r>
        <w:rPr>
          <w:rFonts w:ascii="Times New Roman" w:hAnsi="Times New Roman" w:cs="Times New Roman"/>
        </w:rPr>
        <w:t>fait le choix d’un accord local, et son effectif total ne pourra alors jamais dépasser 125% de l’effectif qui résulterait de l’application du III et du IV.</w:t>
      </w:r>
    </w:p>
    <w:p w:rsidR="0023447E" w:rsidRDefault="0023447E" w:rsidP="0023447E">
      <w:pPr>
        <w:rPr>
          <w:rFonts w:ascii="Times New Roman" w:hAnsi="Times New Roman" w:cs="Times New Roman"/>
        </w:rPr>
      </w:pPr>
    </w:p>
    <w:p w:rsidR="0023447E" w:rsidRPr="0023447E" w:rsidRDefault="0023447E" w:rsidP="0023447E">
      <w:pPr>
        <w:rPr>
          <w:rFonts w:ascii="Times New Roman" w:hAnsi="Times New Roman" w:cs="Times New Roman"/>
        </w:rPr>
      </w:pPr>
      <w:r>
        <w:rPr>
          <w:rFonts w:ascii="Times New Roman" w:hAnsi="Times New Roman" w:cs="Times New Roman"/>
        </w:rPr>
        <w:t xml:space="preserve">Le tableau présenté ci-dessous résume cet effectif maximal </w:t>
      </w:r>
      <w:r w:rsidR="00704D66">
        <w:rPr>
          <w:rFonts w:ascii="Times New Roman" w:hAnsi="Times New Roman" w:cs="Times New Roman"/>
        </w:rPr>
        <w:t xml:space="preserve">par types d’EPCI-FP </w:t>
      </w:r>
      <w:r>
        <w:rPr>
          <w:rFonts w:ascii="Times New Roman" w:hAnsi="Times New Roman" w:cs="Times New Roman"/>
        </w:rPr>
        <w:t xml:space="preserve">en fonction des dispositifs </w:t>
      </w:r>
      <w:r w:rsidR="00704D66">
        <w:rPr>
          <w:rFonts w:ascii="Times New Roman" w:hAnsi="Times New Roman" w:cs="Times New Roman"/>
        </w:rPr>
        <w:t>utilisés.</w:t>
      </w:r>
    </w:p>
    <w:p w:rsidR="00555EC5" w:rsidRDefault="00555EC5" w:rsidP="00555EC5">
      <w:pPr>
        <w:rPr>
          <w:rFonts w:ascii="Times New Roman" w:hAnsi="Times New Roman" w:cs="Times New Roman"/>
        </w:rPr>
      </w:pPr>
    </w:p>
    <w:tbl>
      <w:tblPr>
        <w:tblStyle w:val="Grilledutableau"/>
        <w:tblW w:w="0" w:type="auto"/>
        <w:jc w:val="center"/>
        <w:tblLook w:val="04A0"/>
      </w:tblPr>
      <w:tblGrid>
        <w:gridCol w:w="1134"/>
        <w:gridCol w:w="1701"/>
        <w:gridCol w:w="1701"/>
        <w:gridCol w:w="1701"/>
      </w:tblGrid>
      <w:tr w:rsidR="0023447E" w:rsidTr="009351D9">
        <w:trPr>
          <w:jc w:val="center"/>
        </w:trPr>
        <w:tc>
          <w:tcPr>
            <w:tcW w:w="1134" w:type="dxa"/>
          </w:tcPr>
          <w:p w:rsidR="0023447E" w:rsidRDefault="0023447E" w:rsidP="009351D9">
            <w:pPr>
              <w:rPr>
                <w:rFonts w:ascii="Times New Roman" w:hAnsi="Times New Roman" w:cs="Times New Roman"/>
              </w:rPr>
            </w:pPr>
          </w:p>
        </w:tc>
        <w:tc>
          <w:tcPr>
            <w:tcW w:w="1701" w:type="dxa"/>
          </w:tcPr>
          <w:p w:rsidR="0023447E" w:rsidRPr="0023447E" w:rsidRDefault="0023447E" w:rsidP="009351D9">
            <w:pPr>
              <w:jc w:val="center"/>
              <w:rPr>
                <w:rFonts w:ascii="Times New Roman" w:hAnsi="Times New Roman" w:cs="Times New Roman"/>
                <w:b/>
              </w:rPr>
            </w:pPr>
            <w:r>
              <w:rPr>
                <w:rFonts w:ascii="Times New Roman" w:hAnsi="Times New Roman" w:cs="Times New Roman"/>
                <w:b/>
              </w:rPr>
              <w:t>CA et CC</w:t>
            </w:r>
          </w:p>
        </w:tc>
        <w:tc>
          <w:tcPr>
            <w:tcW w:w="1701" w:type="dxa"/>
          </w:tcPr>
          <w:p w:rsidR="0023447E" w:rsidRPr="0023447E" w:rsidRDefault="0023447E" w:rsidP="009351D9">
            <w:pPr>
              <w:jc w:val="center"/>
              <w:rPr>
                <w:rFonts w:ascii="Times New Roman" w:hAnsi="Times New Roman" w:cs="Times New Roman"/>
                <w:b/>
              </w:rPr>
            </w:pPr>
            <w:r w:rsidRPr="0023447E">
              <w:rPr>
                <w:rFonts w:ascii="Times New Roman" w:hAnsi="Times New Roman" w:cs="Times New Roman"/>
                <w:b/>
              </w:rPr>
              <w:t>CU</w:t>
            </w:r>
          </w:p>
        </w:tc>
        <w:tc>
          <w:tcPr>
            <w:tcW w:w="1701" w:type="dxa"/>
          </w:tcPr>
          <w:p w:rsidR="0023447E" w:rsidRPr="0023447E" w:rsidRDefault="0023447E" w:rsidP="009351D9">
            <w:pPr>
              <w:jc w:val="center"/>
              <w:rPr>
                <w:rFonts w:ascii="Times New Roman" w:hAnsi="Times New Roman" w:cs="Times New Roman"/>
                <w:b/>
              </w:rPr>
            </w:pPr>
            <w:r w:rsidRPr="0023447E">
              <w:rPr>
                <w:rFonts w:ascii="Times New Roman" w:hAnsi="Times New Roman" w:cs="Times New Roman"/>
                <w:b/>
              </w:rPr>
              <w:t>Métropoles</w:t>
            </w:r>
          </w:p>
        </w:tc>
      </w:tr>
      <w:tr w:rsidR="0023447E" w:rsidTr="009351D9">
        <w:trPr>
          <w:jc w:val="center"/>
        </w:trPr>
        <w:tc>
          <w:tcPr>
            <w:tcW w:w="1134" w:type="dxa"/>
          </w:tcPr>
          <w:p w:rsidR="0023447E" w:rsidRDefault="0023447E" w:rsidP="009351D9">
            <w:pPr>
              <w:rPr>
                <w:rFonts w:ascii="Times New Roman" w:hAnsi="Times New Roman" w:cs="Times New Roman"/>
              </w:rPr>
            </w:pPr>
            <w:r>
              <w:rPr>
                <w:rFonts w:ascii="Times New Roman" w:hAnsi="Times New Roman" w:cs="Times New Roman"/>
              </w:rPr>
              <w:t>III et IV</w:t>
            </w:r>
          </w:p>
        </w:tc>
        <w:tc>
          <w:tcPr>
            <w:tcW w:w="1701" w:type="dxa"/>
          </w:tcPr>
          <w:p w:rsidR="0023447E" w:rsidRDefault="0023447E" w:rsidP="009351D9">
            <w:pPr>
              <w:jc w:val="right"/>
              <w:rPr>
                <w:rFonts w:ascii="Times New Roman" w:hAnsi="Times New Roman" w:cs="Times New Roman"/>
              </w:rPr>
            </w:pPr>
            <w:r>
              <w:rPr>
                <w:rFonts w:ascii="Times New Roman" w:hAnsi="Times New Roman" w:cs="Times New Roman"/>
              </w:rPr>
              <w:t>100 %</w:t>
            </w:r>
          </w:p>
        </w:tc>
        <w:tc>
          <w:tcPr>
            <w:tcW w:w="1701" w:type="dxa"/>
          </w:tcPr>
          <w:p w:rsidR="0023447E" w:rsidRDefault="0023447E" w:rsidP="009351D9">
            <w:pPr>
              <w:jc w:val="right"/>
              <w:rPr>
                <w:rFonts w:ascii="Times New Roman" w:hAnsi="Times New Roman" w:cs="Times New Roman"/>
              </w:rPr>
            </w:pPr>
            <w:r>
              <w:rPr>
                <w:rFonts w:ascii="Times New Roman" w:hAnsi="Times New Roman" w:cs="Times New Roman"/>
              </w:rPr>
              <w:t>100 %</w:t>
            </w:r>
          </w:p>
        </w:tc>
        <w:tc>
          <w:tcPr>
            <w:tcW w:w="1701" w:type="dxa"/>
          </w:tcPr>
          <w:p w:rsidR="0023447E" w:rsidRDefault="0023447E" w:rsidP="009351D9">
            <w:pPr>
              <w:jc w:val="right"/>
              <w:rPr>
                <w:rFonts w:ascii="Times New Roman" w:hAnsi="Times New Roman" w:cs="Times New Roman"/>
              </w:rPr>
            </w:pPr>
            <w:r>
              <w:rPr>
                <w:rFonts w:ascii="Times New Roman" w:hAnsi="Times New Roman" w:cs="Times New Roman"/>
              </w:rPr>
              <w:t>100 %</w:t>
            </w:r>
          </w:p>
        </w:tc>
      </w:tr>
      <w:tr w:rsidR="0023447E" w:rsidTr="009351D9">
        <w:trPr>
          <w:jc w:val="center"/>
        </w:trPr>
        <w:tc>
          <w:tcPr>
            <w:tcW w:w="1134" w:type="dxa"/>
          </w:tcPr>
          <w:p w:rsidR="0023447E" w:rsidRDefault="0023447E" w:rsidP="009351D9">
            <w:pPr>
              <w:rPr>
                <w:rFonts w:ascii="Times New Roman" w:hAnsi="Times New Roman" w:cs="Times New Roman"/>
              </w:rPr>
            </w:pPr>
            <w:r>
              <w:rPr>
                <w:rFonts w:ascii="Times New Roman" w:hAnsi="Times New Roman" w:cs="Times New Roman"/>
              </w:rPr>
              <w:t>V</w:t>
            </w:r>
          </w:p>
        </w:tc>
        <w:tc>
          <w:tcPr>
            <w:tcW w:w="1701" w:type="dxa"/>
          </w:tcPr>
          <w:p w:rsidR="0023447E" w:rsidRDefault="0023447E" w:rsidP="009351D9">
            <w:pPr>
              <w:jc w:val="right"/>
              <w:rPr>
                <w:rFonts w:ascii="Times New Roman" w:hAnsi="Times New Roman" w:cs="Times New Roman"/>
              </w:rPr>
            </w:pPr>
            <w:r>
              <w:rPr>
                <w:rFonts w:ascii="Times New Roman" w:hAnsi="Times New Roman" w:cs="Times New Roman"/>
              </w:rPr>
              <w:t>110 %</w:t>
            </w:r>
          </w:p>
        </w:tc>
        <w:tc>
          <w:tcPr>
            <w:tcW w:w="1701" w:type="dxa"/>
          </w:tcPr>
          <w:p w:rsidR="0023447E" w:rsidRDefault="0023447E" w:rsidP="009351D9">
            <w:pPr>
              <w:jc w:val="right"/>
              <w:rPr>
                <w:rFonts w:ascii="Times New Roman" w:hAnsi="Times New Roman" w:cs="Times New Roman"/>
              </w:rPr>
            </w:pPr>
            <w:r>
              <w:rPr>
                <w:rFonts w:ascii="Times New Roman" w:hAnsi="Times New Roman" w:cs="Times New Roman"/>
              </w:rPr>
              <w:t>110 %</w:t>
            </w:r>
          </w:p>
        </w:tc>
        <w:tc>
          <w:tcPr>
            <w:tcW w:w="1701" w:type="dxa"/>
          </w:tcPr>
          <w:p w:rsidR="0023447E" w:rsidRPr="0023447E" w:rsidRDefault="0023447E" w:rsidP="009351D9">
            <w:pPr>
              <w:jc w:val="center"/>
              <w:rPr>
                <w:rFonts w:ascii="Times New Roman" w:hAnsi="Times New Roman" w:cs="Times New Roman"/>
                <w:i/>
              </w:rPr>
            </w:pPr>
            <w:r>
              <w:rPr>
                <w:rFonts w:ascii="Times New Roman" w:hAnsi="Times New Roman" w:cs="Times New Roman"/>
                <w:i/>
              </w:rPr>
              <w:t>Non applicable</w:t>
            </w:r>
          </w:p>
        </w:tc>
      </w:tr>
      <w:tr w:rsidR="0023447E" w:rsidTr="009351D9">
        <w:trPr>
          <w:jc w:val="center"/>
        </w:trPr>
        <w:tc>
          <w:tcPr>
            <w:tcW w:w="1134" w:type="dxa"/>
          </w:tcPr>
          <w:p w:rsidR="0023447E" w:rsidRDefault="0023447E" w:rsidP="009351D9">
            <w:pPr>
              <w:rPr>
                <w:rFonts w:ascii="Times New Roman" w:hAnsi="Times New Roman" w:cs="Times New Roman"/>
              </w:rPr>
            </w:pPr>
            <w:r>
              <w:rPr>
                <w:rFonts w:ascii="Times New Roman" w:hAnsi="Times New Roman" w:cs="Times New Roman"/>
              </w:rPr>
              <w:t>VI</w:t>
            </w:r>
          </w:p>
        </w:tc>
        <w:tc>
          <w:tcPr>
            <w:tcW w:w="1701" w:type="dxa"/>
          </w:tcPr>
          <w:p w:rsidR="0023447E" w:rsidRDefault="0023447E" w:rsidP="009351D9">
            <w:pPr>
              <w:jc w:val="right"/>
              <w:rPr>
                <w:rFonts w:ascii="Times New Roman" w:hAnsi="Times New Roman" w:cs="Times New Roman"/>
              </w:rPr>
            </w:pPr>
            <w:r>
              <w:rPr>
                <w:rFonts w:ascii="Times New Roman" w:hAnsi="Times New Roman" w:cs="Times New Roman"/>
              </w:rPr>
              <w:t>110 %</w:t>
            </w:r>
          </w:p>
        </w:tc>
        <w:tc>
          <w:tcPr>
            <w:tcW w:w="1701" w:type="dxa"/>
          </w:tcPr>
          <w:p w:rsidR="0023447E" w:rsidRDefault="0023447E" w:rsidP="009351D9">
            <w:pPr>
              <w:jc w:val="right"/>
              <w:rPr>
                <w:rFonts w:ascii="Times New Roman" w:hAnsi="Times New Roman" w:cs="Times New Roman"/>
              </w:rPr>
            </w:pPr>
            <w:r>
              <w:rPr>
                <w:rFonts w:ascii="Times New Roman" w:hAnsi="Times New Roman" w:cs="Times New Roman"/>
              </w:rPr>
              <w:t>110 %</w:t>
            </w:r>
          </w:p>
        </w:tc>
        <w:tc>
          <w:tcPr>
            <w:tcW w:w="1701" w:type="dxa"/>
          </w:tcPr>
          <w:p w:rsidR="0023447E" w:rsidRDefault="0023447E" w:rsidP="009351D9">
            <w:pPr>
              <w:jc w:val="right"/>
              <w:rPr>
                <w:rFonts w:ascii="Times New Roman" w:hAnsi="Times New Roman" w:cs="Times New Roman"/>
              </w:rPr>
            </w:pPr>
            <w:r>
              <w:rPr>
                <w:rFonts w:ascii="Times New Roman" w:hAnsi="Times New Roman" w:cs="Times New Roman"/>
              </w:rPr>
              <w:t>110 %</w:t>
            </w:r>
          </w:p>
        </w:tc>
      </w:tr>
      <w:tr w:rsidR="0023447E" w:rsidTr="009351D9">
        <w:trPr>
          <w:jc w:val="center"/>
        </w:trPr>
        <w:tc>
          <w:tcPr>
            <w:tcW w:w="1134" w:type="dxa"/>
          </w:tcPr>
          <w:p w:rsidR="0023447E" w:rsidRDefault="0023447E" w:rsidP="009351D9">
            <w:pPr>
              <w:rPr>
                <w:rFonts w:ascii="Times New Roman" w:hAnsi="Times New Roman" w:cs="Times New Roman"/>
              </w:rPr>
            </w:pPr>
            <w:r>
              <w:rPr>
                <w:rFonts w:ascii="Times New Roman" w:hAnsi="Times New Roman" w:cs="Times New Roman"/>
              </w:rPr>
              <w:t>1° du II</w:t>
            </w:r>
          </w:p>
        </w:tc>
        <w:tc>
          <w:tcPr>
            <w:tcW w:w="1701" w:type="dxa"/>
          </w:tcPr>
          <w:p w:rsidR="0023447E" w:rsidRDefault="0023447E" w:rsidP="009351D9">
            <w:pPr>
              <w:jc w:val="right"/>
              <w:rPr>
                <w:rFonts w:ascii="Times New Roman" w:hAnsi="Times New Roman" w:cs="Times New Roman"/>
              </w:rPr>
            </w:pPr>
            <w:r>
              <w:rPr>
                <w:rFonts w:ascii="Times New Roman" w:hAnsi="Times New Roman" w:cs="Times New Roman"/>
              </w:rPr>
              <w:t>125 %</w:t>
            </w:r>
          </w:p>
        </w:tc>
        <w:tc>
          <w:tcPr>
            <w:tcW w:w="1701" w:type="dxa"/>
          </w:tcPr>
          <w:p w:rsidR="0023447E" w:rsidRDefault="0023447E" w:rsidP="009351D9">
            <w:pPr>
              <w:jc w:val="center"/>
              <w:rPr>
                <w:rFonts w:ascii="Times New Roman" w:hAnsi="Times New Roman" w:cs="Times New Roman"/>
              </w:rPr>
            </w:pPr>
            <w:r>
              <w:rPr>
                <w:rFonts w:ascii="Times New Roman" w:hAnsi="Times New Roman" w:cs="Times New Roman"/>
                <w:i/>
              </w:rPr>
              <w:t>Non applicable</w:t>
            </w:r>
          </w:p>
        </w:tc>
        <w:tc>
          <w:tcPr>
            <w:tcW w:w="1701" w:type="dxa"/>
          </w:tcPr>
          <w:p w:rsidR="0023447E" w:rsidRDefault="0023447E" w:rsidP="009351D9">
            <w:pPr>
              <w:jc w:val="center"/>
              <w:rPr>
                <w:rFonts w:ascii="Times New Roman" w:hAnsi="Times New Roman" w:cs="Times New Roman"/>
              </w:rPr>
            </w:pPr>
            <w:r>
              <w:rPr>
                <w:rFonts w:ascii="Times New Roman" w:hAnsi="Times New Roman" w:cs="Times New Roman"/>
                <w:i/>
              </w:rPr>
              <w:t>Non applicable</w:t>
            </w:r>
          </w:p>
        </w:tc>
      </w:tr>
    </w:tbl>
    <w:p w:rsidR="0023447E" w:rsidRDefault="0023447E" w:rsidP="00555EC5">
      <w:pPr>
        <w:rPr>
          <w:rFonts w:ascii="Times New Roman" w:hAnsi="Times New Roman" w:cs="Times New Roman"/>
        </w:rPr>
      </w:pPr>
    </w:p>
    <w:p w:rsidR="0023447E" w:rsidRDefault="0023447E" w:rsidP="00555EC5">
      <w:pPr>
        <w:rPr>
          <w:rFonts w:ascii="Times New Roman" w:hAnsi="Times New Roman" w:cs="Times New Roman"/>
        </w:rPr>
      </w:pPr>
    </w:p>
    <w:p w:rsidR="00555EC5" w:rsidRPr="00555EC5" w:rsidRDefault="00555EC5" w:rsidP="00555EC5">
      <w:pPr>
        <w:rPr>
          <w:rFonts w:ascii="Times New Roman" w:hAnsi="Times New Roman" w:cs="Times New Roman"/>
          <w:b/>
          <w:bCs/>
          <w:u w:val="single"/>
        </w:rPr>
      </w:pPr>
      <w:r w:rsidRPr="00555EC5">
        <w:rPr>
          <w:rFonts w:ascii="Times New Roman" w:hAnsi="Times New Roman" w:cs="Times New Roman"/>
          <w:b/>
          <w:bCs/>
          <w:u w:val="single"/>
        </w:rPr>
        <w:t xml:space="preserve">Conséquences </w:t>
      </w:r>
      <w:r w:rsidR="001306AE">
        <w:rPr>
          <w:rFonts w:ascii="Times New Roman" w:hAnsi="Times New Roman" w:cs="Times New Roman"/>
          <w:b/>
          <w:bCs/>
          <w:u w:val="single"/>
        </w:rPr>
        <w:t xml:space="preserve">de la conclusion d’un « accord local 25% » </w:t>
      </w:r>
      <w:r w:rsidRPr="00555EC5">
        <w:rPr>
          <w:rFonts w:ascii="Times New Roman" w:hAnsi="Times New Roman" w:cs="Times New Roman"/>
          <w:b/>
          <w:bCs/>
          <w:u w:val="single"/>
        </w:rPr>
        <w:t>sur la définition de l’enveloppe indemnitaire</w:t>
      </w:r>
    </w:p>
    <w:p w:rsidR="001306AE" w:rsidRDefault="001306AE" w:rsidP="00555EC5">
      <w:pPr>
        <w:rPr>
          <w:rFonts w:ascii="Times New Roman" w:hAnsi="Times New Roman" w:cs="Times New Roman"/>
        </w:rPr>
      </w:pPr>
      <w:r>
        <w:rPr>
          <w:rFonts w:ascii="Times New Roman" w:hAnsi="Times New Roman" w:cs="Times New Roman"/>
        </w:rPr>
        <w:t xml:space="preserve">Les EPCI-FP dont la répartition des sièges a été définie en application du droit commun </w:t>
      </w:r>
      <w:r w:rsidR="00704D66">
        <w:rPr>
          <w:rFonts w:ascii="Times New Roman" w:hAnsi="Times New Roman" w:cs="Times New Roman"/>
        </w:rPr>
        <w:t xml:space="preserve">ou du « mini accord local à 10 % » </w:t>
      </w:r>
      <w:r>
        <w:rPr>
          <w:rFonts w:ascii="Times New Roman" w:hAnsi="Times New Roman" w:cs="Times New Roman"/>
        </w:rPr>
        <w:t>(les III à VI de l’article L. 5211-6-1 CGCT) ne posent pas de difficulté s’agissant de la définition de leur enveloppe indemnitaire. Celle-ci est en effet définie sur la base des textes qu’ils ont appliqué</w:t>
      </w:r>
      <w:r w:rsidR="00CD57DC">
        <w:rPr>
          <w:rFonts w:ascii="Times New Roman" w:hAnsi="Times New Roman" w:cs="Times New Roman"/>
        </w:rPr>
        <w:t>s</w:t>
      </w:r>
      <w:r>
        <w:rPr>
          <w:rFonts w:ascii="Times New Roman" w:hAnsi="Times New Roman" w:cs="Times New Roman"/>
        </w:rPr>
        <w:t> : il leur suffit donc de considérer le nombre réel de leurs vice-présidents. C’est systématiquement le cas pour les métropoles et les communautés urbaines, celles-ci ne pouvant pas conclure « d’accord local 25% ».</w:t>
      </w:r>
    </w:p>
    <w:p w:rsidR="001306AE" w:rsidRDefault="001306AE" w:rsidP="00555EC5">
      <w:pPr>
        <w:rPr>
          <w:rFonts w:ascii="Times New Roman" w:hAnsi="Times New Roman" w:cs="Times New Roman"/>
        </w:rPr>
      </w:pPr>
    </w:p>
    <w:p w:rsidR="00555EC5" w:rsidRDefault="001306AE" w:rsidP="00555EC5">
      <w:pPr>
        <w:rPr>
          <w:rFonts w:ascii="Times New Roman" w:hAnsi="Times New Roman" w:cs="Times New Roman"/>
        </w:rPr>
      </w:pPr>
      <w:r>
        <w:rPr>
          <w:rFonts w:ascii="Times New Roman" w:hAnsi="Times New Roman" w:cs="Times New Roman"/>
        </w:rPr>
        <w:t>A contrario, la conclusion d’un « accord local 25% » entraîne un calcul de l’enveloppe indemnitaire qui ne sera pas directement basé sur l’effectif réel du conseil. Ainsi, a</w:t>
      </w:r>
      <w:r w:rsidR="00847887">
        <w:rPr>
          <w:rFonts w:ascii="Times New Roman" w:hAnsi="Times New Roman" w:cs="Times New Roman"/>
        </w:rPr>
        <w:t>ux termes de l’articles L. 5211-12, le nombre de vice-présidents qui peuvent contribuer à l’enveloppe indemnitaire de l’exécutif de l’EPCI</w:t>
      </w:r>
      <w:r w:rsidR="00DA3B15">
        <w:rPr>
          <w:rFonts w:ascii="Times New Roman" w:hAnsi="Times New Roman" w:cs="Times New Roman"/>
        </w:rPr>
        <w:t>-FP</w:t>
      </w:r>
      <w:r w:rsidR="00847887">
        <w:rPr>
          <w:rFonts w:ascii="Times New Roman" w:hAnsi="Times New Roman" w:cs="Times New Roman"/>
        </w:rPr>
        <w:t xml:space="preserve"> est plafonné au nombre maximal de vice-présidents susceptibles d’être désignés </w:t>
      </w:r>
      <w:r w:rsidR="00847887" w:rsidRPr="00847887">
        <w:rPr>
          <w:rFonts w:ascii="Times New Roman" w:hAnsi="Times New Roman" w:cs="Times New Roman"/>
          <w:u w:val="single"/>
        </w:rPr>
        <w:t>par un organe délibérant dont la composition aurait été fixée en application des dispositions du III au VI de l’article L. 5211-6-1</w:t>
      </w:r>
      <w:r w:rsidR="00A83721">
        <w:rPr>
          <w:rFonts w:ascii="Times New Roman" w:hAnsi="Times New Roman" w:cs="Times New Roman"/>
          <w:u w:val="single"/>
        </w:rPr>
        <w:t xml:space="preserve"> </w:t>
      </w:r>
      <w:r w:rsidR="00A83721">
        <w:rPr>
          <w:rFonts w:ascii="Times New Roman" w:hAnsi="Times New Roman" w:cs="Times New Roman"/>
        </w:rPr>
        <w:t xml:space="preserve"> (ici désigné comme « effectif théorique »)</w:t>
      </w:r>
      <w:r w:rsidR="00847887" w:rsidRPr="00A83721">
        <w:rPr>
          <w:rFonts w:ascii="Times New Roman" w:hAnsi="Times New Roman" w:cs="Times New Roman"/>
        </w:rPr>
        <w:t xml:space="preserve">, </w:t>
      </w:r>
      <w:r w:rsidR="00847887">
        <w:rPr>
          <w:rFonts w:ascii="Times New Roman" w:hAnsi="Times New Roman" w:cs="Times New Roman"/>
        </w:rPr>
        <w:t xml:space="preserve">c’est-à-dire par un organe délibérant composé en vertu du droit commun </w:t>
      </w:r>
      <w:r w:rsidR="00704D66">
        <w:rPr>
          <w:rFonts w:ascii="Times New Roman" w:hAnsi="Times New Roman" w:cs="Times New Roman"/>
        </w:rPr>
        <w:t xml:space="preserve">ou du « mini accord local à 10 % » </w:t>
      </w:r>
      <w:r w:rsidR="00847887">
        <w:rPr>
          <w:rFonts w:ascii="Times New Roman" w:hAnsi="Times New Roman" w:cs="Times New Roman"/>
        </w:rPr>
        <w:t>et non d’un « accord local </w:t>
      </w:r>
      <w:r w:rsidR="00DA3B15">
        <w:rPr>
          <w:rFonts w:ascii="Times New Roman" w:hAnsi="Times New Roman" w:cs="Times New Roman"/>
        </w:rPr>
        <w:t>25% </w:t>
      </w:r>
      <w:r w:rsidR="00847887">
        <w:rPr>
          <w:rFonts w:ascii="Times New Roman" w:hAnsi="Times New Roman" w:cs="Times New Roman"/>
        </w:rPr>
        <w:t>».</w:t>
      </w:r>
    </w:p>
    <w:p w:rsidR="00A83721" w:rsidRDefault="00847887" w:rsidP="00A83721">
      <w:pPr>
        <w:rPr>
          <w:rFonts w:ascii="Times New Roman" w:hAnsi="Times New Roman" w:cs="Times New Roman"/>
        </w:rPr>
      </w:pPr>
      <w:r>
        <w:rPr>
          <w:rFonts w:ascii="Times New Roman" w:hAnsi="Times New Roman" w:cs="Times New Roman"/>
        </w:rPr>
        <w:lastRenderedPageBreak/>
        <w:t>Lorsqu’un EPCI</w:t>
      </w:r>
      <w:r w:rsidR="00DA3B15">
        <w:rPr>
          <w:rFonts w:ascii="Times New Roman" w:hAnsi="Times New Roman" w:cs="Times New Roman"/>
        </w:rPr>
        <w:t>-FP</w:t>
      </w:r>
      <w:r>
        <w:rPr>
          <w:rFonts w:ascii="Times New Roman" w:hAnsi="Times New Roman" w:cs="Times New Roman"/>
        </w:rPr>
        <w:t xml:space="preserve"> a eu recours </w:t>
      </w:r>
      <w:r w:rsidR="00CD57DC">
        <w:rPr>
          <w:rFonts w:ascii="Times New Roman" w:hAnsi="Times New Roman" w:cs="Times New Roman"/>
        </w:rPr>
        <w:t xml:space="preserve">à </w:t>
      </w:r>
      <w:r>
        <w:rPr>
          <w:rFonts w:ascii="Times New Roman" w:hAnsi="Times New Roman" w:cs="Times New Roman"/>
        </w:rPr>
        <w:t>un « accord local </w:t>
      </w:r>
      <w:r w:rsidR="00A83721">
        <w:rPr>
          <w:rFonts w:ascii="Times New Roman" w:hAnsi="Times New Roman" w:cs="Times New Roman"/>
        </w:rPr>
        <w:t xml:space="preserve">25% </w:t>
      </w:r>
      <w:r>
        <w:rPr>
          <w:rFonts w:ascii="Times New Roman" w:hAnsi="Times New Roman" w:cs="Times New Roman"/>
        </w:rPr>
        <w:t>», il doit donc estimer le nombre de vice-présidents qu’il aurait pu désigner s’il s’était composé en application du droit commun pour déterminer son enveloppe indemnitaire.</w:t>
      </w:r>
      <w:r w:rsidR="00A83721">
        <w:rPr>
          <w:rFonts w:ascii="Times New Roman" w:hAnsi="Times New Roman" w:cs="Times New Roman"/>
        </w:rPr>
        <w:t xml:space="preserve"> </w:t>
      </w:r>
      <w:r w:rsidR="00A4528E">
        <w:rPr>
          <w:rFonts w:ascii="Times New Roman" w:hAnsi="Times New Roman" w:cs="Times New Roman"/>
        </w:rPr>
        <w:t>Il y a donc lieu de s’interroger</w:t>
      </w:r>
      <w:r w:rsidR="001306AE">
        <w:rPr>
          <w:rFonts w:ascii="Times New Roman" w:hAnsi="Times New Roman" w:cs="Times New Roman"/>
        </w:rPr>
        <w:t xml:space="preserve"> </w:t>
      </w:r>
      <w:r w:rsidR="007D5096">
        <w:rPr>
          <w:rFonts w:ascii="Times New Roman" w:hAnsi="Times New Roman" w:cs="Times New Roman"/>
        </w:rPr>
        <w:t>sur l’effectif à retenir pour le calcul de l’enveloppe indemnitaire</w:t>
      </w:r>
      <w:r w:rsidR="001306AE">
        <w:rPr>
          <w:rFonts w:ascii="Times New Roman" w:hAnsi="Times New Roman" w:cs="Times New Roman"/>
        </w:rPr>
        <w:t xml:space="preserve"> dans cette hypothèse</w:t>
      </w:r>
      <w:r w:rsidR="00A83721">
        <w:rPr>
          <w:rFonts w:ascii="Times New Roman" w:hAnsi="Times New Roman" w:cs="Times New Roman"/>
        </w:rPr>
        <w:t> :</w:t>
      </w:r>
    </w:p>
    <w:p w:rsidR="00847887" w:rsidRPr="00A83721" w:rsidRDefault="00A83721" w:rsidP="00A83721">
      <w:pPr>
        <w:pStyle w:val="Paragraphedeliste"/>
        <w:numPr>
          <w:ilvl w:val="0"/>
          <w:numId w:val="9"/>
        </w:numPr>
        <w:rPr>
          <w:rFonts w:ascii="Times New Roman" w:hAnsi="Times New Roman" w:cs="Times New Roman"/>
        </w:rPr>
      </w:pPr>
      <w:r>
        <w:rPr>
          <w:rFonts w:ascii="Times New Roman" w:hAnsi="Times New Roman" w:cs="Times New Roman"/>
        </w:rPr>
        <w:t>S</w:t>
      </w:r>
      <w:r w:rsidR="00847887" w:rsidRPr="00A83721">
        <w:rPr>
          <w:rFonts w:ascii="Times New Roman" w:hAnsi="Times New Roman" w:cs="Times New Roman"/>
        </w:rPr>
        <w:t>i l’EPCI</w:t>
      </w:r>
      <w:r w:rsidR="00DA3B15">
        <w:rPr>
          <w:rFonts w:ascii="Times New Roman" w:hAnsi="Times New Roman" w:cs="Times New Roman"/>
        </w:rPr>
        <w:t>-FP</w:t>
      </w:r>
      <w:r w:rsidR="00847887" w:rsidRPr="00A83721">
        <w:rPr>
          <w:rFonts w:ascii="Times New Roman" w:hAnsi="Times New Roman" w:cs="Times New Roman"/>
        </w:rPr>
        <w:t xml:space="preserve"> est une communauté de communes</w:t>
      </w:r>
      <w:r w:rsidR="00704D66">
        <w:rPr>
          <w:rFonts w:ascii="Times New Roman" w:hAnsi="Times New Roman" w:cs="Times New Roman"/>
        </w:rPr>
        <w:t>,</w:t>
      </w:r>
      <w:r w:rsidR="00847887" w:rsidRPr="00A83721">
        <w:rPr>
          <w:rFonts w:ascii="Times New Roman" w:hAnsi="Times New Roman" w:cs="Times New Roman"/>
        </w:rPr>
        <w:t xml:space="preserve"> une communauté</w:t>
      </w:r>
      <w:r w:rsidRPr="00A83721">
        <w:rPr>
          <w:rFonts w:ascii="Times New Roman" w:hAnsi="Times New Roman" w:cs="Times New Roman"/>
        </w:rPr>
        <w:t xml:space="preserve"> d’agglomération </w:t>
      </w:r>
      <w:r w:rsidR="00704D66">
        <w:rPr>
          <w:rFonts w:ascii="Times New Roman" w:hAnsi="Times New Roman" w:cs="Times New Roman"/>
        </w:rPr>
        <w:t xml:space="preserve">ou une communauté urbaine </w:t>
      </w:r>
      <w:r w:rsidRPr="00A83721">
        <w:rPr>
          <w:rFonts w:ascii="Times New Roman" w:hAnsi="Times New Roman" w:cs="Times New Roman"/>
        </w:rPr>
        <w:t xml:space="preserve">qui aurait été dans l’obligation de majorer de 10% son effectif en application du </w:t>
      </w:r>
      <w:r w:rsidRPr="00A83721">
        <w:rPr>
          <w:rFonts w:ascii="Times New Roman" w:hAnsi="Times New Roman" w:cs="Times New Roman"/>
          <w:b/>
          <w:bCs/>
        </w:rPr>
        <w:t>V</w:t>
      </w:r>
      <w:r w:rsidRPr="00A83721">
        <w:rPr>
          <w:rFonts w:ascii="Times New Roman" w:hAnsi="Times New Roman" w:cs="Times New Roman"/>
        </w:rPr>
        <w:t>, cette majoration doit</w:t>
      </w:r>
      <w:r w:rsidR="007D5096">
        <w:rPr>
          <w:rFonts w:ascii="Times New Roman" w:hAnsi="Times New Roman" w:cs="Times New Roman"/>
        </w:rPr>
        <w:t>-elle</w:t>
      </w:r>
      <w:r w:rsidRPr="00A83721">
        <w:rPr>
          <w:rFonts w:ascii="Times New Roman" w:hAnsi="Times New Roman" w:cs="Times New Roman"/>
        </w:rPr>
        <w:t xml:space="preserve"> être intégrée dans « l’effectif théorique »</w:t>
      </w:r>
      <w:r w:rsidR="007D5096">
        <w:rPr>
          <w:rFonts w:ascii="Times New Roman" w:hAnsi="Times New Roman" w:cs="Times New Roman"/>
        </w:rPr>
        <w:t> ?</w:t>
      </w:r>
      <w:r w:rsidR="001306AE">
        <w:rPr>
          <w:rFonts w:ascii="Times New Roman" w:hAnsi="Times New Roman" w:cs="Times New Roman"/>
        </w:rPr>
        <w:t xml:space="preserve"> </w:t>
      </w:r>
    </w:p>
    <w:p w:rsidR="00A83721" w:rsidRDefault="001306AE" w:rsidP="00847887">
      <w:pPr>
        <w:pStyle w:val="Paragraphedeliste"/>
        <w:numPr>
          <w:ilvl w:val="0"/>
          <w:numId w:val="8"/>
        </w:numPr>
        <w:rPr>
          <w:rFonts w:ascii="Times New Roman" w:hAnsi="Times New Roman" w:cs="Times New Roman"/>
        </w:rPr>
      </w:pPr>
      <w:r>
        <w:rPr>
          <w:rFonts w:ascii="Times New Roman" w:hAnsi="Times New Roman" w:cs="Times New Roman"/>
        </w:rPr>
        <w:t>S</w:t>
      </w:r>
      <w:r w:rsidR="00A83721">
        <w:rPr>
          <w:rFonts w:ascii="Times New Roman" w:hAnsi="Times New Roman" w:cs="Times New Roman"/>
        </w:rPr>
        <w:t>i l’EPCI</w:t>
      </w:r>
      <w:r w:rsidR="00DA3B15">
        <w:rPr>
          <w:rFonts w:ascii="Times New Roman" w:hAnsi="Times New Roman" w:cs="Times New Roman"/>
        </w:rPr>
        <w:t>-FP</w:t>
      </w:r>
      <w:r w:rsidR="00A83721">
        <w:rPr>
          <w:rFonts w:ascii="Times New Roman" w:hAnsi="Times New Roman" w:cs="Times New Roman"/>
        </w:rPr>
        <w:t xml:space="preserve"> n’est pas dans ce cas de figure, « l’effectif théorique » peut-il également être majoré de 10% alors que le « mini accord local 10% » prévu au </w:t>
      </w:r>
      <w:r w:rsidR="00A83721" w:rsidRPr="00A83721">
        <w:rPr>
          <w:rFonts w:ascii="Times New Roman" w:hAnsi="Times New Roman" w:cs="Times New Roman"/>
          <w:b/>
          <w:bCs/>
        </w:rPr>
        <w:t>VI</w:t>
      </w:r>
      <w:r w:rsidR="00A83721">
        <w:rPr>
          <w:rFonts w:ascii="Times New Roman" w:hAnsi="Times New Roman" w:cs="Times New Roman"/>
        </w:rPr>
        <w:t xml:space="preserve"> n’est qu’une faculté, et non une obligation ?</w:t>
      </w:r>
    </w:p>
    <w:p w:rsidR="00A83721" w:rsidRDefault="00A83721" w:rsidP="00A83721">
      <w:pPr>
        <w:rPr>
          <w:rFonts w:ascii="Times New Roman" w:hAnsi="Times New Roman" w:cs="Times New Roman"/>
        </w:rPr>
      </w:pPr>
    </w:p>
    <w:p w:rsidR="00A83721" w:rsidRDefault="00A83721" w:rsidP="00A83721">
      <w:pPr>
        <w:rPr>
          <w:rFonts w:ascii="Times New Roman" w:hAnsi="Times New Roman" w:cs="Times New Roman"/>
        </w:rPr>
      </w:pPr>
      <w:r>
        <w:rPr>
          <w:rFonts w:ascii="Times New Roman" w:hAnsi="Times New Roman" w:cs="Times New Roman"/>
        </w:rPr>
        <w:t>L’article L. 5211-12</w:t>
      </w:r>
      <w:r w:rsidR="001306AE">
        <w:rPr>
          <w:rFonts w:ascii="Times New Roman" w:hAnsi="Times New Roman" w:cs="Times New Roman"/>
        </w:rPr>
        <w:t>, qui définit l’enveloppe indemnitaire des EPCI-FP,</w:t>
      </w:r>
      <w:r>
        <w:rPr>
          <w:rFonts w:ascii="Times New Roman" w:hAnsi="Times New Roman" w:cs="Times New Roman"/>
        </w:rPr>
        <w:t xml:space="preserve"> précise qu’il convient de se référer à l’effectif qui aurait résulté « des III au VI » de l’article L. 5211-12 du CGCT.</w:t>
      </w:r>
      <w:r w:rsidR="001306AE">
        <w:rPr>
          <w:rFonts w:ascii="Times New Roman" w:hAnsi="Times New Roman" w:cs="Times New Roman"/>
        </w:rPr>
        <w:t xml:space="preserve"> Cette référence juridique inclut donc aussi bien la majoration obligatoire </w:t>
      </w:r>
      <w:r w:rsidR="002731F8">
        <w:rPr>
          <w:rFonts w:ascii="Times New Roman" w:hAnsi="Times New Roman" w:cs="Times New Roman"/>
        </w:rPr>
        <w:t xml:space="preserve">du nombre de sièges </w:t>
      </w:r>
      <w:r w:rsidR="001306AE">
        <w:rPr>
          <w:rFonts w:ascii="Times New Roman" w:hAnsi="Times New Roman" w:cs="Times New Roman"/>
        </w:rPr>
        <w:t>prévue au V (« siège</w:t>
      </w:r>
      <w:r w:rsidR="00704D66">
        <w:rPr>
          <w:rFonts w:ascii="Times New Roman" w:hAnsi="Times New Roman" w:cs="Times New Roman"/>
        </w:rPr>
        <w:t>s</w:t>
      </w:r>
      <w:r w:rsidR="001306AE">
        <w:rPr>
          <w:rFonts w:ascii="Times New Roman" w:hAnsi="Times New Roman" w:cs="Times New Roman"/>
        </w:rPr>
        <w:t xml:space="preserve"> </w:t>
      </w:r>
      <w:r w:rsidR="00704D66">
        <w:rPr>
          <w:rFonts w:ascii="Times New Roman" w:hAnsi="Times New Roman" w:cs="Times New Roman"/>
        </w:rPr>
        <w:t>forfaitaires </w:t>
      </w:r>
      <w:r w:rsidR="001306AE">
        <w:rPr>
          <w:rFonts w:ascii="Times New Roman" w:hAnsi="Times New Roman" w:cs="Times New Roman"/>
        </w:rPr>
        <w:t xml:space="preserve">») que </w:t>
      </w:r>
      <w:r w:rsidR="002731F8">
        <w:rPr>
          <w:rFonts w:ascii="Times New Roman" w:hAnsi="Times New Roman" w:cs="Times New Roman"/>
        </w:rPr>
        <w:t>celle,</w:t>
      </w:r>
      <w:r w:rsidR="001306AE">
        <w:rPr>
          <w:rFonts w:ascii="Times New Roman" w:hAnsi="Times New Roman" w:cs="Times New Roman"/>
        </w:rPr>
        <w:t xml:space="preserve"> facultative (</w:t>
      </w:r>
      <w:r>
        <w:rPr>
          <w:rFonts w:ascii="Times New Roman" w:hAnsi="Times New Roman" w:cs="Times New Roman"/>
        </w:rPr>
        <w:t xml:space="preserve">« mini-accord </w:t>
      </w:r>
      <w:r w:rsidR="001306AE">
        <w:rPr>
          <w:rFonts w:ascii="Times New Roman" w:hAnsi="Times New Roman" w:cs="Times New Roman"/>
        </w:rPr>
        <w:t xml:space="preserve">local </w:t>
      </w:r>
      <w:r>
        <w:rPr>
          <w:rFonts w:ascii="Times New Roman" w:hAnsi="Times New Roman" w:cs="Times New Roman"/>
        </w:rPr>
        <w:t>10% »</w:t>
      </w:r>
      <w:r w:rsidR="001306AE">
        <w:rPr>
          <w:rFonts w:ascii="Times New Roman" w:hAnsi="Times New Roman" w:cs="Times New Roman"/>
        </w:rPr>
        <w:t>)</w:t>
      </w:r>
      <w:r w:rsidR="002731F8">
        <w:rPr>
          <w:rFonts w:ascii="Times New Roman" w:hAnsi="Times New Roman" w:cs="Times New Roman"/>
        </w:rPr>
        <w:t>,</w:t>
      </w:r>
      <w:r>
        <w:rPr>
          <w:rFonts w:ascii="Times New Roman" w:hAnsi="Times New Roman" w:cs="Times New Roman"/>
        </w:rPr>
        <w:t xml:space="preserve"> </w:t>
      </w:r>
      <w:r w:rsidR="001306AE">
        <w:rPr>
          <w:rFonts w:ascii="Times New Roman" w:hAnsi="Times New Roman" w:cs="Times New Roman"/>
        </w:rPr>
        <w:t xml:space="preserve">prévue </w:t>
      </w:r>
      <w:r>
        <w:rPr>
          <w:rFonts w:ascii="Times New Roman" w:hAnsi="Times New Roman" w:cs="Times New Roman"/>
        </w:rPr>
        <w:t>au VI</w:t>
      </w:r>
      <w:r w:rsidR="001306AE">
        <w:rPr>
          <w:rFonts w:ascii="Times New Roman" w:hAnsi="Times New Roman" w:cs="Times New Roman"/>
        </w:rPr>
        <w:t>.</w:t>
      </w:r>
      <w:r w:rsidR="00EF2B64">
        <w:rPr>
          <w:rFonts w:ascii="Times New Roman" w:hAnsi="Times New Roman" w:cs="Times New Roman"/>
        </w:rPr>
        <w:t xml:space="preserve"> La réponse est donc positive </w:t>
      </w:r>
      <w:r w:rsidR="00A4528E">
        <w:rPr>
          <w:rFonts w:ascii="Times New Roman" w:hAnsi="Times New Roman" w:cs="Times New Roman"/>
        </w:rPr>
        <w:t>dans les deux cas évoqués ci-dessus</w:t>
      </w:r>
      <w:r w:rsidR="00EF2B64">
        <w:rPr>
          <w:rFonts w:ascii="Times New Roman" w:hAnsi="Times New Roman" w:cs="Times New Roman"/>
        </w:rPr>
        <w:t>.</w:t>
      </w:r>
    </w:p>
    <w:p w:rsidR="000B426E" w:rsidRDefault="000B426E" w:rsidP="00A83721">
      <w:pPr>
        <w:rPr>
          <w:rFonts w:ascii="Times New Roman" w:hAnsi="Times New Roman" w:cs="Times New Roman"/>
        </w:rPr>
      </w:pPr>
    </w:p>
    <w:p w:rsidR="000B426E" w:rsidRDefault="00A83721" w:rsidP="00A83721">
      <w:pPr>
        <w:rPr>
          <w:rFonts w:ascii="Times New Roman" w:hAnsi="Times New Roman" w:cs="Times New Roman"/>
        </w:rPr>
      </w:pPr>
      <w:r>
        <w:rPr>
          <w:rFonts w:ascii="Times New Roman" w:hAnsi="Times New Roman" w:cs="Times New Roman"/>
        </w:rPr>
        <w:t xml:space="preserve">En outre, </w:t>
      </w:r>
      <w:r w:rsidR="000B426E">
        <w:rPr>
          <w:rFonts w:ascii="Times New Roman" w:hAnsi="Times New Roman" w:cs="Times New Roman"/>
        </w:rPr>
        <w:t xml:space="preserve">une interprétation contraire aurait pour effet paradoxal, dans certains cas, de rendre « l’accord local » moins avantageux en termes indemnitaires : alors que les vice-présidents </w:t>
      </w:r>
      <w:r w:rsidR="00AB6F4F">
        <w:rPr>
          <w:rFonts w:ascii="Times New Roman" w:hAnsi="Times New Roman" w:cs="Times New Roman"/>
        </w:rPr>
        <w:t xml:space="preserve">peuvent y être </w:t>
      </w:r>
      <w:r w:rsidR="000B426E">
        <w:rPr>
          <w:rFonts w:ascii="Times New Roman" w:hAnsi="Times New Roman" w:cs="Times New Roman"/>
        </w:rPr>
        <w:t>plus nombreux, ils devraient s</w:t>
      </w:r>
      <w:r w:rsidR="00AB6F4F">
        <w:rPr>
          <w:rFonts w:ascii="Times New Roman" w:hAnsi="Times New Roman" w:cs="Times New Roman"/>
        </w:rPr>
        <w:t>’y</w:t>
      </w:r>
      <w:r w:rsidR="000B426E">
        <w:rPr>
          <w:rFonts w:ascii="Times New Roman" w:hAnsi="Times New Roman" w:cs="Times New Roman"/>
        </w:rPr>
        <w:t xml:space="preserve"> répartir une enveloppe moins importante. L’effet serait donc de dissuader l’usage d’accords locaux, alors que </w:t>
      </w:r>
      <w:r>
        <w:rPr>
          <w:rFonts w:ascii="Times New Roman" w:hAnsi="Times New Roman" w:cs="Times New Roman"/>
        </w:rPr>
        <w:t>l’esprit de la loi est ici</w:t>
      </w:r>
      <w:r w:rsidR="000B426E">
        <w:rPr>
          <w:rFonts w:ascii="Times New Roman" w:hAnsi="Times New Roman" w:cs="Times New Roman"/>
        </w:rPr>
        <w:t xml:space="preserve"> double : favoriser la flexibilité, tout en neutralisant l’effet sur les indemnités</w:t>
      </w:r>
      <w:r>
        <w:rPr>
          <w:rFonts w:ascii="Times New Roman" w:hAnsi="Times New Roman" w:cs="Times New Roman"/>
        </w:rPr>
        <w:t>.</w:t>
      </w:r>
    </w:p>
    <w:p w:rsidR="00A83721" w:rsidRDefault="00A83721" w:rsidP="00A83721">
      <w:pPr>
        <w:rPr>
          <w:rFonts w:ascii="Times New Roman" w:hAnsi="Times New Roman" w:cs="Times New Roman"/>
        </w:rPr>
      </w:pPr>
      <w:r>
        <w:rPr>
          <w:rFonts w:ascii="Times New Roman" w:hAnsi="Times New Roman" w:cs="Times New Roman"/>
        </w:rPr>
        <w:t xml:space="preserve">La rédaction </w:t>
      </w:r>
      <w:r w:rsidR="000B426E">
        <w:rPr>
          <w:rFonts w:ascii="Times New Roman" w:hAnsi="Times New Roman" w:cs="Times New Roman"/>
        </w:rPr>
        <w:t xml:space="preserve">de cet alinéa du L. 5211-12 résulte d’ailleurs </w:t>
      </w:r>
      <w:r>
        <w:rPr>
          <w:rFonts w:ascii="Times New Roman" w:hAnsi="Times New Roman" w:cs="Times New Roman"/>
        </w:rPr>
        <w:t>d’un amendement</w:t>
      </w:r>
      <w:r w:rsidR="000B426E">
        <w:rPr>
          <w:rFonts w:ascii="Times New Roman" w:hAnsi="Times New Roman" w:cs="Times New Roman"/>
        </w:rPr>
        <w:t xml:space="preserve"> parlementaire</w:t>
      </w:r>
      <w:r>
        <w:rPr>
          <w:rStyle w:val="Appelnotedebasdep"/>
          <w:rFonts w:ascii="Times New Roman" w:hAnsi="Times New Roman" w:cs="Times New Roman"/>
        </w:rPr>
        <w:footnoteReference w:id="3"/>
      </w:r>
      <w:r>
        <w:rPr>
          <w:rFonts w:ascii="Times New Roman" w:hAnsi="Times New Roman" w:cs="Times New Roman"/>
        </w:rPr>
        <w:t xml:space="preserve"> à la loi n° 2012-1561 du 31 décembre 2012 relative à la représentation communale dans les communautés de communes et d’agglomération</w:t>
      </w:r>
      <w:r w:rsidR="000B426E">
        <w:rPr>
          <w:rFonts w:ascii="Times New Roman" w:hAnsi="Times New Roman" w:cs="Times New Roman"/>
        </w:rPr>
        <w:t xml:space="preserve">, dont l’exposé mentionne le </w:t>
      </w:r>
      <w:r w:rsidR="00AB6F4F">
        <w:rPr>
          <w:rFonts w:ascii="Times New Roman" w:hAnsi="Times New Roman" w:cs="Times New Roman"/>
        </w:rPr>
        <w:t xml:space="preserve">double objectif de </w:t>
      </w:r>
      <w:r w:rsidR="000B426E">
        <w:rPr>
          <w:rFonts w:ascii="Times New Roman" w:hAnsi="Times New Roman" w:cs="Times New Roman"/>
        </w:rPr>
        <w:t xml:space="preserve">« strict maintien au niveau de l’ensemble des indemnités pouvant être accordées aux délégués (…) tout en conservant le choix par le Sénat d’accorder plus de liberté et de flexibilité aux élus locaux ». Il a donc conduit à la définition de la notion d’enveloppe appliquée aujourd’hui. </w:t>
      </w:r>
    </w:p>
    <w:p w:rsidR="000B426E" w:rsidRDefault="000B426E" w:rsidP="00A83721">
      <w:pPr>
        <w:rPr>
          <w:rFonts w:ascii="Times New Roman" w:hAnsi="Times New Roman" w:cs="Times New Roman"/>
        </w:rPr>
      </w:pPr>
    </w:p>
    <w:p w:rsidR="000B426E" w:rsidRPr="000B426E" w:rsidRDefault="000B426E" w:rsidP="00A83721">
      <w:pPr>
        <w:rPr>
          <w:rFonts w:ascii="Times New Roman" w:hAnsi="Times New Roman" w:cs="Times New Roman"/>
          <w:b/>
          <w:bCs/>
        </w:rPr>
      </w:pPr>
      <w:r w:rsidRPr="000B426E">
        <w:rPr>
          <w:rFonts w:ascii="Times New Roman" w:hAnsi="Times New Roman" w:cs="Times New Roman"/>
          <w:b/>
          <w:bCs/>
        </w:rPr>
        <w:t xml:space="preserve">Pour cette raison, il </w:t>
      </w:r>
      <w:r w:rsidR="002731F8">
        <w:rPr>
          <w:rFonts w:ascii="Times New Roman" w:hAnsi="Times New Roman" w:cs="Times New Roman"/>
          <w:b/>
          <w:bCs/>
        </w:rPr>
        <w:t>semble possible de considérer que</w:t>
      </w:r>
      <w:r w:rsidRPr="000B426E">
        <w:rPr>
          <w:rFonts w:ascii="Times New Roman" w:hAnsi="Times New Roman" w:cs="Times New Roman"/>
          <w:b/>
          <w:bCs/>
        </w:rPr>
        <w:t xml:space="preserve"> tous les EPCI</w:t>
      </w:r>
      <w:r w:rsidR="00DA3B15">
        <w:rPr>
          <w:rFonts w:ascii="Times New Roman" w:hAnsi="Times New Roman" w:cs="Times New Roman"/>
          <w:b/>
          <w:bCs/>
        </w:rPr>
        <w:t>-FP</w:t>
      </w:r>
      <w:r w:rsidRPr="000B426E">
        <w:rPr>
          <w:rFonts w:ascii="Times New Roman" w:hAnsi="Times New Roman" w:cs="Times New Roman"/>
          <w:b/>
          <w:bCs/>
        </w:rPr>
        <w:t xml:space="preserve"> ayant eu recours aux « accords locaux 25% » </w:t>
      </w:r>
      <w:r w:rsidR="002731F8">
        <w:rPr>
          <w:rFonts w:ascii="Times New Roman" w:hAnsi="Times New Roman" w:cs="Times New Roman"/>
          <w:b/>
          <w:bCs/>
        </w:rPr>
        <w:t xml:space="preserve">peuvent calculer </w:t>
      </w:r>
      <w:r w:rsidR="002731F8" w:rsidRPr="000B426E">
        <w:rPr>
          <w:rFonts w:ascii="Times New Roman" w:hAnsi="Times New Roman" w:cs="Times New Roman"/>
          <w:b/>
          <w:bCs/>
        </w:rPr>
        <w:t>l</w:t>
      </w:r>
      <w:r w:rsidR="002731F8">
        <w:rPr>
          <w:rFonts w:ascii="Times New Roman" w:hAnsi="Times New Roman" w:cs="Times New Roman"/>
          <w:b/>
          <w:bCs/>
        </w:rPr>
        <w:t>’</w:t>
      </w:r>
      <w:r w:rsidRPr="000B426E">
        <w:rPr>
          <w:rFonts w:ascii="Times New Roman" w:hAnsi="Times New Roman" w:cs="Times New Roman"/>
          <w:b/>
          <w:bCs/>
        </w:rPr>
        <w:t xml:space="preserve">« effectif théorique » </w:t>
      </w:r>
      <w:r w:rsidR="002731F8">
        <w:rPr>
          <w:rFonts w:ascii="Times New Roman" w:hAnsi="Times New Roman" w:cs="Times New Roman"/>
          <w:b/>
          <w:bCs/>
        </w:rPr>
        <w:t xml:space="preserve">servant de base à la détermination de leur enveloppe indemnitaire en intégrant une majoration de 10% du nombre de sièges par rapport à </w:t>
      </w:r>
      <w:r w:rsidRPr="000B426E">
        <w:rPr>
          <w:rFonts w:ascii="Times New Roman" w:hAnsi="Times New Roman" w:cs="Times New Roman"/>
          <w:b/>
          <w:bCs/>
        </w:rPr>
        <w:t>l’effectif qui aurait résulté du III et du IV de l’article L. 5211-6-1.</w:t>
      </w:r>
    </w:p>
    <w:p w:rsidR="000B426E" w:rsidRDefault="000B426E" w:rsidP="00A83721">
      <w:pPr>
        <w:rPr>
          <w:rFonts w:ascii="Times New Roman" w:hAnsi="Times New Roman" w:cs="Times New Roman"/>
        </w:rPr>
      </w:pPr>
    </w:p>
    <w:p w:rsidR="000B426E" w:rsidRDefault="000B426E" w:rsidP="00A83721">
      <w:pPr>
        <w:rPr>
          <w:rFonts w:ascii="Times New Roman" w:hAnsi="Times New Roman" w:cs="Times New Roman"/>
        </w:rPr>
      </w:pPr>
      <w:r>
        <w:rPr>
          <w:rFonts w:ascii="Times New Roman" w:hAnsi="Times New Roman" w:cs="Times New Roman"/>
        </w:rPr>
        <w:t xml:space="preserve">A nouveau, dans tous les cas, si le nombre réel de vice-présidents est inférieur au nombre maximal qui aurait été obtenu en application de ces dispositions, le nombre réel devra être pris en compte pour la détermination de l’enveloppe indemnitaire globale. </w:t>
      </w:r>
      <w:r w:rsidR="00AB6F4F">
        <w:rPr>
          <w:rFonts w:ascii="Times New Roman" w:hAnsi="Times New Roman" w:cs="Times New Roman"/>
        </w:rPr>
        <w:t>De même, le nombre de vice-président est encadré par des valeurs fixes (</w:t>
      </w:r>
      <w:r w:rsidR="00704D66">
        <w:rPr>
          <w:rFonts w:ascii="Times New Roman" w:hAnsi="Times New Roman" w:cs="Times New Roman"/>
        </w:rPr>
        <w:t xml:space="preserve">1 </w:t>
      </w:r>
      <w:r w:rsidR="00AB6F4F">
        <w:rPr>
          <w:rFonts w:ascii="Times New Roman" w:hAnsi="Times New Roman" w:cs="Times New Roman"/>
        </w:rPr>
        <w:t>au moins, 15 au plus, toujours 20 pour les métropoles).</w:t>
      </w:r>
    </w:p>
    <w:p w:rsidR="000B426E" w:rsidRDefault="000B426E" w:rsidP="00A83721">
      <w:pPr>
        <w:rPr>
          <w:rFonts w:ascii="Times New Roman" w:hAnsi="Times New Roman" w:cs="Times New Roman"/>
        </w:rPr>
      </w:pPr>
    </w:p>
    <w:p w:rsidR="000B426E" w:rsidRPr="000B426E" w:rsidRDefault="000B426E" w:rsidP="00A83721">
      <w:pPr>
        <w:rPr>
          <w:rFonts w:ascii="Times New Roman" w:hAnsi="Times New Roman" w:cs="Times New Roman"/>
          <w:b/>
          <w:bCs/>
          <w:u w:val="single"/>
        </w:rPr>
      </w:pPr>
      <w:r w:rsidRPr="000B426E">
        <w:rPr>
          <w:rFonts w:ascii="Times New Roman" w:hAnsi="Times New Roman" w:cs="Times New Roman"/>
          <w:b/>
          <w:bCs/>
          <w:u w:val="single"/>
        </w:rPr>
        <w:t>Cas particulier des conseillers des communautés d</w:t>
      </w:r>
      <w:r w:rsidR="00601D69">
        <w:rPr>
          <w:rFonts w:ascii="Times New Roman" w:hAnsi="Times New Roman" w:cs="Times New Roman"/>
          <w:b/>
          <w:bCs/>
          <w:u w:val="single"/>
        </w:rPr>
        <w:t>’agglomération</w:t>
      </w:r>
    </w:p>
    <w:p w:rsidR="000B426E" w:rsidRDefault="000B426E" w:rsidP="00A83721">
      <w:pPr>
        <w:rPr>
          <w:rFonts w:ascii="Times New Roman" w:hAnsi="Times New Roman" w:cs="Times New Roman"/>
        </w:rPr>
      </w:pPr>
      <w:r>
        <w:rPr>
          <w:rFonts w:ascii="Times New Roman" w:hAnsi="Times New Roman" w:cs="Times New Roman"/>
        </w:rPr>
        <w:t>Les modalités selon lesquelles les conseillers des EPCI</w:t>
      </w:r>
      <w:r w:rsidR="00601D69">
        <w:rPr>
          <w:rFonts w:ascii="Times New Roman" w:hAnsi="Times New Roman" w:cs="Times New Roman"/>
        </w:rPr>
        <w:t>-FP</w:t>
      </w:r>
      <w:r>
        <w:rPr>
          <w:rFonts w:ascii="Times New Roman" w:hAnsi="Times New Roman" w:cs="Times New Roman"/>
        </w:rPr>
        <w:t xml:space="preserve"> peuvent percevoir une indemnité de fonction sont variables :</w:t>
      </w:r>
    </w:p>
    <w:p w:rsidR="000B426E" w:rsidRDefault="000B426E" w:rsidP="000B426E">
      <w:pPr>
        <w:pStyle w:val="Paragraphedeliste"/>
        <w:numPr>
          <w:ilvl w:val="0"/>
          <w:numId w:val="8"/>
        </w:numPr>
        <w:rPr>
          <w:rFonts w:ascii="Times New Roman" w:hAnsi="Times New Roman" w:cs="Times New Roman"/>
        </w:rPr>
      </w:pPr>
      <w:r>
        <w:rPr>
          <w:rFonts w:ascii="Times New Roman" w:hAnsi="Times New Roman" w:cs="Times New Roman"/>
        </w:rPr>
        <w:t xml:space="preserve">Les conseillers délégués (membres du bureau titulaires d’une délégation, mais qui ne sont ni présidents ni vice-présidents) peuvent </w:t>
      </w:r>
      <w:r w:rsidR="00601D69">
        <w:rPr>
          <w:rFonts w:ascii="Times New Roman" w:hAnsi="Times New Roman" w:cs="Times New Roman"/>
        </w:rPr>
        <w:t>percevoir une indemnité de fonction dont le montant est néanmoins prélevé sur l’enveloppe du président et des vice-présidents (article L. 2123-24-1-II)</w:t>
      </w:r>
    </w:p>
    <w:p w:rsidR="00601D69" w:rsidRDefault="00601D69" w:rsidP="000B426E">
      <w:pPr>
        <w:pStyle w:val="Paragraphedeliste"/>
        <w:numPr>
          <w:ilvl w:val="0"/>
          <w:numId w:val="8"/>
        </w:numPr>
        <w:rPr>
          <w:rFonts w:ascii="Times New Roman" w:hAnsi="Times New Roman" w:cs="Times New Roman"/>
        </w:rPr>
      </w:pPr>
      <w:r>
        <w:rPr>
          <w:rFonts w:ascii="Times New Roman" w:hAnsi="Times New Roman" w:cs="Times New Roman"/>
        </w:rPr>
        <w:t>Dans les EPCI-FP de moins de 100 000 habitants, les « conseillers simples » (sans délégation) peuvent percevoir une indemnité au maximal égale à 6% de l’indice brut terminal de la fonction publique, dont le montant est néanmoins prélevé sur l’enveloppe du président et des vice-présidents (article L. 2123-24-1-III)</w:t>
      </w:r>
    </w:p>
    <w:p w:rsidR="00601D69" w:rsidRDefault="00601D69" w:rsidP="000B426E">
      <w:pPr>
        <w:pStyle w:val="Paragraphedeliste"/>
        <w:numPr>
          <w:ilvl w:val="0"/>
          <w:numId w:val="8"/>
        </w:numPr>
        <w:rPr>
          <w:rFonts w:ascii="Times New Roman" w:hAnsi="Times New Roman" w:cs="Times New Roman"/>
        </w:rPr>
      </w:pPr>
      <w:r>
        <w:rPr>
          <w:rFonts w:ascii="Times New Roman" w:hAnsi="Times New Roman" w:cs="Times New Roman"/>
        </w:rPr>
        <w:t xml:space="preserve">Dans les EPCI-FP de plus de 100 000 habitants, les « conseillers simples » (sans délégation) peuvent percevoir une indemnité de fonction, dont le montant varie selon le type d’EPCI et sa population, </w:t>
      </w:r>
      <w:r w:rsidRPr="00601D69">
        <w:rPr>
          <w:rFonts w:ascii="Times New Roman" w:hAnsi="Times New Roman" w:cs="Times New Roman"/>
          <w:u w:val="single"/>
        </w:rPr>
        <w:t>qui n’est pas comprise dans l’enveloppe du président et des vice-présidents</w:t>
      </w:r>
      <w:r>
        <w:rPr>
          <w:rFonts w:ascii="Times New Roman" w:hAnsi="Times New Roman" w:cs="Times New Roman"/>
        </w:rPr>
        <w:t xml:space="preserve">. </w:t>
      </w:r>
    </w:p>
    <w:p w:rsidR="00601D69" w:rsidRDefault="00601D69" w:rsidP="00601D69">
      <w:pPr>
        <w:ind w:left="360"/>
        <w:rPr>
          <w:rFonts w:ascii="Times New Roman" w:hAnsi="Times New Roman" w:cs="Times New Roman"/>
        </w:rPr>
      </w:pPr>
    </w:p>
    <w:p w:rsidR="00601D69" w:rsidRDefault="00601D69" w:rsidP="00601D69">
      <w:pPr>
        <w:ind w:left="360"/>
        <w:rPr>
          <w:rFonts w:ascii="Times New Roman" w:hAnsi="Times New Roman" w:cs="Times New Roman"/>
        </w:rPr>
      </w:pPr>
      <w:r>
        <w:rPr>
          <w:rFonts w:ascii="Times New Roman" w:hAnsi="Times New Roman" w:cs="Times New Roman"/>
        </w:rPr>
        <w:lastRenderedPageBreak/>
        <w:t>Néanmoins, l’article L. 5216-4-1, qui concerne les communautés d’agglomération, prévoit des dispositions spécifiques pour les « conseillers simples » de ces EPCI</w:t>
      </w:r>
      <w:r w:rsidR="00DA3B15">
        <w:rPr>
          <w:rFonts w:ascii="Times New Roman" w:hAnsi="Times New Roman" w:cs="Times New Roman"/>
        </w:rPr>
        <w:t>-FP</w:t>
      </w:r>
      <w:r>
        <w:rPr>
          <w:rFonts w:ascii="Times New Roman" w:hAnsi="Times New Roman" w:cs="Times New Roman"/>
        </w:rPr>
        <w:t xml:space="preserve">. Lorsque la communauté d’agglomération a réparti ses sièges par le biais d’un « accord local 25% », </w:t>
      </w:r>
      <w:r w:rsidRPr="00601D69">
        <w:rPr>
          <w:rFonts w:ascii="Times New Roman" w:hAnsi="Times New Roman" w:cs="Times New Roman"/>
          <w:u w:val="single"/>
        </w:rPr>
        <w:t>le montant total des indemnités des « conseillers simples » ne doit pas dépasser celui qui aurait été obtenu en appliquant le « droit commun »</w:t>
      </w:r>
      <w:r>
        <w:rPr>
          <w:rFonts w:ascii="Times New Roman" w:hAnsi="Times New Roman" w:cs="Times New Roman"/>
        </w:rPr>
        <w:t>.</w:t>
      </w:r>
    </w:p>
    <w:p w:rsidR="00601D69" w:rsidRDefault="00601D69" w:rsidP="00601D69">
      <w:pPr>
        <w:ind w:left="360"/>
        <w:rPr>
          <w:rFonts w:ascii="Times New Roman" w:hAnsi="Times New Roman" w:cs="Times New Roman"/>
        </w:rPr>
      </w:pPr>
    </w:p>
    <w:p w:rsidR="00601D69" w:rsidRDefault="00601D69" w:rsidP="00601D69">
      <w:pPr>
        <w:ind w:left="360"/>
        <w:rPr>
          <w:rFonts w:ascii="Times New Roman" w:hAnsi="Times New Roman" w:cs="Times New Roman"/>
        </w:rPr>
      </w:pPr>
      <w:r>
        <w:rPr>
          <w:rFonts w:ascii="Times New Roman" w:hAnsi="Times New Roman" w:cs="Times New Roman"/>
        </w:rPr>
        <w:t>Cette disposition résulte également de la loi de 2012 précitée. Celle-ci n’a</w:t>
      </w:r>
      <w:r w:rsidR="005265AB">
        <w:rPr>
          <w:rFonts w:ascii="Times New Roman" w:hAnsi="Times New Roman" w:cs="Times New Roman"/>
        </w:rPr>
        <w:t>vait alors</w:t>
      </w:r>
      <w:r>
        <w:rPr>
          <w:rFonts w:ascii="Times New Roman" w:hAnsi="Times New Roman" w:cs="Times New Roman"/>
        </w:rPr>
        <w:t xml:space="preserve"> pas intégré les communautés de communes, dans la mesure où</w:t>
      </w:r>
      <w:r w:rsidR="005265AB">
        <w:rPr>
          <w:rFonts w:ascii="Times New Roman" w:hAnsi="Times New Roman" w:cs="Times New Roman"/>
        </w:rPr>
        <w:t xml:space="preserve"> à cette date,</w:t>
      </w:r>
      <w:r>
        <w:rPr>
          <w:rFonts w:ascii="Times New Roman" w:hAnsi="Times New Roman" w:cs="Times New Roman"/>
        </w:rPr>
        <w:t xml:space="preserve"> </w:t>
      </w:r>
      <w:r w:rsidR="00AB6F4F">
        <w:rPr>
          <w:rFonts w:ascii="Times New Roman" w:hAnsi="Times New Roman" w:cs="Times New Roman"/>
        </w:rPr>
        <w:t>elles</w:t>
      </w:r>
      <w:r>
        <w:rPr>
          <w:rFonts w:ascii="Times New Roman" w:hAnsi="Times New Roman" w:cs="Times New Roman"/>
        </w:rPr>
        <w:t xml:space="preserve"> ne disposaient pas encore de la possibilité de verser une indemnité à leurs conseillers simples. Pour mémoire, les autres EPCI</w:t>
      </w:r>
      <w:r w:rsidR="00DA3B15">
        <w:rPr>
          <w:rFonts w:ascii="Times New Roman" w:hAnsi="Times New Roman" w:cs="Times New Roman"/>
        </w:rPr>
        <w:t>-FP</w:t>
      </w:r>
      <w:r>
        <w:rPr>
          <w:rFonts w:ascii="Times New Roman" w:hAnsi="Times New Roman" w:cs="Times New Roman"/>
        </w:rPr>
        <w:t xml:space="preserve"> ne peuvent pas signer « d’accord local 25% »</w:t>
      </w:r>
      <w:r w:rsidR="005265AB">
        <w:rPr>
          <w:rFonts w:ascii="Times New Roman" w:hAnsi="Times New Roman" w:cs="Times New Roman"/>
        </w:rPr>
        <w:t xml:space="preserve"> et ne sont donc pas concernés.</w:t>
      </w:r>
    </w:p>
    <w:p w:rsidR="00601D69" w:rsidRDefault="00601D69" w:rsidP="00601D69">
      <w:pPr>
        <w:ind w:left="360"/>
        <w:rPr>
          <w:rFonts w:ascii="Times New Roman" w:hAnsi="Times New Roman" w:cs="Times New Roman"/>
        </w:rPr>
      </w:pPr>
    </w:p>
    <w:p w:rsidR="00601D69" w:rsidRDefault="00601D69" w:rsidP="00601D69">
      <w:pPr>
        <w:ind w:left="360"/>
        <w:rPr>
          <w:rFonts w:ascii="Times New Roman" w:hAnsi="Times New Roman" w:cs="Times New Roman"/>
        </w:rPr>
      </w:pPr>
      <w:r>
        <w:rPr>
          <w:rFonts w:ascii="Times New Roman" w:hAnsi="Times New Roman" w:cs="Times New Roman"/>
        </w:rPr>
        <w:t>Il résulte de cet historique un dispositif dérogatoire pour les communautés d’agglomération</w:t>
      </w:r>
      <w:r w:rsidR="005265AB">
        <w:rPr>
          <w:rFonts w:ascii="Times New Roman" w:hAnsi="Times New Roman" w:cs="Times New Roman"/>
        </w:rPr>
        <w:t xml:space="preserve"> qui ont signé un « accord local » : </w:t>
      </w:r>
      <w:r>
        <w:rPr>
          <w:rFonts w:ascii="Times New Roman" w:hAnsi="Times New Roman" w:cs="Times New Roman"/>
        </w:rPr>
        <w:t>l’indemnité de</w:t>
      </w:r>
      <w:r w:rsidR="005265AB">
        <w:rPr>
          <w:rFonts w:ascii="Times New Roman" w:hAnsi="Times New Roman" w:cs="Times New Roman"/>
        </w:rPr>
        <w:t xml:space="preserve"> leurs</w:t>
      </w:r>
      <w:r>
        <w:rPr>
          <w:rFonts w:ascii="Times New Roman" w:hAnsi="Times New Roman" w:cs="Times New Roman"/>
        </w:rPr>
        <w:t xml:space="preserve"> conseillers </w:t>
      </w:r>
      <w:r w:rsidR="005265AB">
        <w:rPr>
          <w:rFonts w:ascii="Times New Roman" w:hAnsi="Times New Roman" w:cs="Times New Roman"/>
        </w:rPr>
        <w:t xml:space="preserve">sans délégation </w:t>
      </w:r>
      <w:r>
        <w:rPr>
          <w:rFonts w:ascii="Times New Roman" w:hAnsi="Times New Roman" w:cs="Times New Roman"/>
        </w:rPr>
        <w:t>doit être comprise dans une enveloppe spécifique définie par la simulation du « droit commun ».</w:t>
      </w:r>
    </w:p>
    <w:p w:rsidR="00601D69" w:rsidRDefault="00601D69" w:rsidP="00601D69">
      <w:pPr>
        <w:ind w:left="360"/>
        <w:rPr>
          <w:rFonts w:ascii="Times New Roman" w:hAnsi="Times New Roman" w:cs="Times New Roman"/>
        </w:rPr>
      </w:pPr>
    </w:p>
    <w:p w:rsidR="00601D69" w:rsidRDefault="00A4528E" w:rsidP="00601D69">
      <w:pPr>
        <w:ind w:left="360"/>
        <w:rPr>
          <w:rFonts w:ascii="Times New Roman" w:hAnsi="Times New Roman" w:cs="Times New Roman"/>
        </w:rPr>
      </w:pPr>
      <w:r>
        <w:rPr>
          <w:rFonts w:ascii="Times New Roman" w:hAnsi="Times New Roman" w:cs="Times New Roman"/>
        </w:rPr>
        <w:t>Sur ce point, des interrogations ont également été portée sur l’</w:t>
      </w:r>
      <w:r w:rsidR="005265AB">
        <w:rPr>
          <w:rFonts w:ascii="Times New Roman" w:hAnsi="Times New Roman" w:cs="Times New Roman"/>
        </w:rPr>
        <w:t xml:space="preserve">interprétation </w:t>
      </w:r>
      <w:r>
        <w:rPr>
          <w:rFonts w:ascii="Times New Roman" w:hAnsi="Times New Roman" w:cs="Times New Roman"/>
        </w:rPr>
        <w:t xml:space="preserve">à </w:t>
      </w:r>
      <w:r w:rsidR="005265AB">
        <w:rPr>
          <w:rFonts w:ascii="Times New Roman" w:hAnsi="Times New Roman" w:cs="Times New Roman"/>
        </w:rPr>
        <w:t>donner au regard des 10% supplémentaires, comme évoqué pour l’exécutif. Il convient donc de proposer la même interprétation :</w:t>
      </w:r>
    </w:p>
    <w:p w:rsidR="005265AB" w:rsidRDefault="005265AB" w:rsidP="00601D69">
      <w:pPr>
        <w:ind w:left="360"/>
        <w:rPr>
          <w:rFonts w:ascii="Times New Roman" w:hAnsi="Times New Roman" w:cs="Times New Roman"/>
        </w:rPr>
      </w:pPr>
    </w:p>
    <w:p w:rsidR="005265AB" w:rsidRPr="005265AB" w:rsidRDefault="005265AB" w:rsidP="00601D69">
      <w:pPr>
        <w:ind w:left="360"/>
        <w:rPr>
          <w:rFonts w:ascii="Times New Roman" w:hAnsi="Times New Roman" w:cs="Times New Roman"/>
          <w:b/>
          <w:bCs/>
        </w:rPr>
      </w:pPr>
      <w:r w:rsidRPr="005265AB">
        <w:rPr>
          <w:rFonts w:ascii="Times New Roman" w:hAnsi="Times New Roman" w:cs="Times New Roman"/>
          <w:b/>
          <w:bCs/>
        </w:rPr>
        <w:t>Pour la détermination de l’enveloppe indemnitaire des conseillers non titulaires de délégation des communautés d’agglomération</w:t>
      </w:r>
      <w:r w:rsidR="00AB6F4F">
        <w:rPr>
          <w:rFonts w:ascii="Times New Roman" w:hAnsi="Times New Roman" w:cs="Times New Roman"/>
          <w:b/>
          <w:bCs/>
        </w:rPr>
        <w:t xml:space="preserve"> ayant signé un accord local</w:t>
      </w:r>
      <w:r w:rsidRPr="005265AB">
        <w:rPr>
          <w:rFonts w:ascii="Times New Roman" w:hAnsi="Times New Roman" w:cs="Times New Roman"/>
          <w:b/>
          <w:bCs/>
        </w:rPr>
        <w:t>, l’effectif à prendre en compte peut intégrer la majoration de 10% prévue au V et au VI de l’article L</w:t>
      </w:r>
      <w:r w:rsidR="00CD57DC" w:rsidRPr="005265AB">
        <w:rPr>
          <w:rFonts w:ascii="Times New Roman" w:hAnsi="Times New Roman" w:cs="Times New Roman"/>
          <w:b/>
          <w:bCs/>
        </w:rPr>
        <w:t>.</w:t>
      </w:r>
      <w:r w:rsidR="00CD57DC">
        <w:rPr>
          <w:rFonts w:ascii="Times New Roman" w:hAnsi="Times New Roman" w:cs="Times New Roman"/>
          <w:b/>
          <w:bCs/>
        </w:rPr>
        <w:t> </w:t>
      </w:r>
      <w:r w:rsidRPr="005265AB">
        <w:rPr>
          <w:rFonts w:ascii="Times New Roman" w:hAnsi="Times New Roman" w:cs="Times New Roman"/>
          <w:b/>
          <w:bCs/>
        </w:rPr>
        <w:t>5211-6-1 du CGCT.</w:t>
      </w:r>
    </w:p>
    <w:sectPr w:rsidR="005265AB" w:rsidRPr="005265AB" w:rsidSect="007F62B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776" w:rsidRDefault="006C1776" w:rsidP="00E57AA5">
      <w:r>
        <w:separator/>
      </w:r>
    </w:p>
  </w:endnote>
  <w:endnote w:type="continuationSeparator" w:id="0">
    <w:p w:rsidR="006C1776" w:rsidRDefault="006C1776" w:rsidP="00E57A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2254860"/>
      <w:docPartObj>
        <w:docPartGallery w:val="Page Numbers (Bottom of Page)"/>
        <w:docPartUnique/>
      </w:docPartObj>
    </w:sdtPr>
    <w:sdtContent>
      <w:p w:rsidR="00425B62" w:rsidRDefault="007B6A8E">
        <w:pPr>
          <w:pStyle w:val="Pieddepage"/>
          <w:jc w:val="right"/>
        </w:pPr>
        <w:r>
          <w:fldChar w:fldCharType="begin"/>
        </w:r>
        <w:r w:rsidR="00BE69E7">
          <w:instrText xml:space="preserve"> PAGE   \* MERGEFORMAT </w:instrText>
        </w:r>
        <w:r>
          <w:fldChar w:fldCharType="separate"/>
        </w:r>
        <w:r w:rsidR="0082535C">
          <w:rPr>
            <w:noProof/>
          </w:rPr>
          <w:t>2</w:t>
        </w:r>
        <w:r>
          <w:rPr>
            <w:noProof/>
          </w:rPr>
          <w:fldChar w:fldCharType="end"/>
        </w:r>
      </w:p>
    </w:sdtContent>
  </w:sdt>
  <w:p w:rsidR="00425B62" w:rsidRDefault="00425B6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776" w:rsidRDefault="006C1776" w:rsidP="00E57AA5">
      <w:r>
        <w:separator/>
      </w:r>
    </w:p>
  </w:footnote>
  <w:footnote w:type="continuationSeparator" w:id="0">
    <w:p w:rsidR="006C1776" w:rsidRDefault="006C1776" w:rsidP="00E57AA5">
      <w:r>
        <w:continuationSeparator/>
      </w:r>
    </w:p>
  </w:footnote>
  <w:footnote w:id="1">
    <w:p w:rsidR="00EF2B64" w:rsidRPr="00660165" w:rsidRDefault="00EF2B64">
      <w:pPr>
        <w:pStyle w:val="Notedebasdepage"/>
        <w:rPr>
          <w:rFonts w:ascii="Times New Roman" w:hAnsi="Times New Roman" w:cs="Times New Roman"/>
        </w:rPr>
      </w:pPr>
      <w:r w:rsidRPr="00660165">
        <w:rPr>
          <w:rStyle w:val="Appelnotedebasdep"/>
          <w:rFonts w:ascii="Times New Roman" w:hAnsi="Times New Roman" w:cs="Times New Roman"/>
        </w:rPr>
        <w:footnoteRef/>
      </w:r>
      <w:r w:rsidRPr="00660165">
        <w:rPr>
          <w:rFonts w:ascii="Times New Roman" w:hAnsi="Times New Roman" w:cs="Times New Roman"/>
        </w:rPr>
        <w:t xml:space="preserve"> Le quatrième alinéa de l’article L. 5211-10 autorise l’organe délibérant à élire, dans certaines conditions, davantage de vice-présidents. Ce choix est néanmoins sans effet sur l’enveloppe indemnitaire : les vice-présidents supplémentaires n’abondent pas l’enveloppe indemnitaire.</w:t>
      </w:r>
    </w:p>
  </w:footnote>
  <w:footnote w:id="2">
    <w:p w:rsidR="00EF2B64" w:rsidRPr="00E44093" w:rsidRDefault="00EF2B64">
      <w:pPr>
        <w:pStyle w:val="Notedebasdepage"/>
        <w:rPr>
          <w:rFonts w:ascii="Times New Roman" w:hAnsi="Times New Roman" w:cs="Times New Roman"/>
        </w:rPr>
      </w:pPr>
      <w:r w:rsidRPr="00E44093">
        <w:rPr>
          <w:rStyle w:val="Appelnotedebasdep"/>
          <w:rFonts w:ascii="Times New Roman" w:hAnsi="Times New Roman" w:cs="Times New Roman"/>
        </w:rPr>
        <w:footnoteRef/>
      </w:r>
      <w:r w:rsidRPr="00E44093">
        <w:rPr>
          <w:rFonts w:ascii="Times New Roman" w:hAnsi="Times New Roman" w:cs="Times New Roman"/>
        </w:rPr>
        <w:t xml:space="preserve"> La métropole d’Aix-Marseille-Provence fait l’objet de dispositions spécifiques non abordées ici.</w:t>
      </w:r>
    </w:p>
  </w:footnote>
  <w:footnote w:id="3">
    <w:p w:rsidR="00EF2B64" w:rsidRDefault="00EF2B64">
      <w:pPr>
        <w:pStyle w:val="Notedebasdepage"/>
      </w:pPr>
      <w:r>
        <w:rPr>
          <w:rStyle w:val="Appelnotedebasdep"/>
        </w:rPr>
        <w:footnoteRef/>
      </w:r>
      <w:r>
        <w:t xml:space="preserve"> </w:t>
      </w:r>
      <w:hyperlink r:id="rId1" w:history="1">
        <w:r w:rsidRPr="00602B8A">
          <w:rPr>
            <w:rStyle w:val="Lienhypertexte"/>
          </w:rPr>
          <w:t>http://www.assemblee-nationale.fr/14/pdf/amendements_commissions/cloi/0420-01.pdf</w:t>
        </w:r>
      </w:hyperlink>
      <w:r>
        <w:t xml:space="preserve"> (page 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B64" w:rsidRDefault="00EF2B64">
    <w:pPr>
      <w:pStyle w:val="En-tte"/>
    </w:pPr>
    <w:r>
      <w:t>DGCL/SDELFPT/FP1/BC</w:t>
    </w:r>
    <w:r>
      <w:tab/>
    </w:r>
    <w:r>
      <w:tab/>
    </w:r>
    <w:r w:rsidR="00DA3B15">
      <w:t>24</w:t>
    </w:r>
    <w:r>
      <w:t>/06/2020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7EC4"/>
    <w:multiLevelType w:val="hybridMultilevel"/>
    <w:tmpl w:val="8B1AEA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611841"/>
    <w:multiLevelType w:val="hybridMultilevel"/>
    <w:tmpl w:val="728CE0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CB44E5F"/>
    <w:multiLevelType w:val="hybridMultilevel"/>
    <w:tmpl w:val="CA467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05251A0"/>
    <w:multiLevelType w:val="hybridMultilevel"/>
    <w:tmpl w:val="47C607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3864AC5"/>
    <w:multiLevelType w:val="hybridMultilevel"/>
    <w:tmpl w:val="67B8897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EC309F1"/>
    <w:multiLevelType w:val="hybridMultilevel"/>
    <w:tmpl w:val="C5F4BA0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F531735"/>
    <w:multiLevelType w:val="hybridMultilevel"/>
    <w:tmpl w:val="70D4D968"/>
    <w:lvl w:ilvl="0" w:tplc="0E260814">
      <w:start w:val="5"/>
      <w:numFmt w:val="upperRoman"/>
      <w:lvlText w:val="%1."/>
      <w:lvlJc w:val="righ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3B127D4"/>
    <w:multiLevelType w:val="hybridMultilevel"/>
    <w:tmpl w:val="760AE2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9005A33"/>
    <w:multiLevelType w:val="hybridMultilevel"/>
    <w:tmpl w:val="1F0463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7"/>
  </w:num>
  <w:num w:numId="5">
    <w:abstractNumId w:val="4"/>
  </w:num>
  <w:num w:numId="6">
    <w:abstractNumId w:val="6"/>
  </w:num>
  <w:num w:numId="7">
    <w:abstractNumId w:val="8"/>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E57AA5"/>
    <w:rsid w:val="000B426E"/>
    <w:rsid w:val="000C2368"/>
    <w:rsid w:val="001306AE"/>
    <w:rsid w:val="0023447E"/>
    <w:rsid w:val="002458A7"/>
    <w:rsid w:val="0027163F"/>
    <w:rsid w:val="002731F8"/>
    <w:rsid w:val="002A6941"/>
    <w:rsid w:val="003C046C"/>
    <w:rsid w:val="00425B62"/>
    <w:rsid w:val="004B7420"/>
    <w:rsid w:val="004C2223"/>
    <w:rsid w:val="004E5607"/>
    <w:rsid w:val="005265AB"/>
    <w:rsid w:val="00555EC5"/>
    <w:rsid w:val="00601D69"/>
    <w:rsid w:val="00660165"/>
    <w:rsid w:val="006A14D8"/>
    <w:rsid w:val="006C1776"/>
    <w:rsid w:val="00704D66"/>
    <w:rsid w:val="00715010"/>
    <w:rsid w:val="00733078"/>
    <w:rsid w:val="007B6A8E"/>
    <w:rsid w:val="007D5096"/>
    <w:rsid w:val="007F62B2"/>
    <w:rsid w:val="0082535C"/>
    <w:rsid w:val="00847887"/>
    <w:rsid w:val="008D009D"/>
    <w:rsid w:val="009B7C50"/>
    <w:rsid w:val="009C6ED0"/>
    <w:rsid w:val="00A26E7A"/>
    <w:rsid w:val="00A4528E"/>
    <w:rsid w:val="00A53453"/>
    <w:rsid w:val="00A7293F"/>
    <w:rsid w:val="00A83721"/>
    <w:rsid w:val="00AB6F4F"/>
    <w:rsid w:val="00AC280F"/>
    <w:rsid w:val="00B028E1"/>
    <w:rsid w:val="00B83C20"/>
    <w:rsid w:val="00B97BB4"/>
    <w:rsid w:val="00BE19AF"/>
    <w:rsid w:val="00BE21ED"/>
    <w:rsid w:val="00BE69E7"/>
    <w:rsid w:val="00C53AC7"/>
    <w:rsid w:val="00CD57DC"/>
    <w:rsid w:val="00DA3B15"/>
    <w:rsid w:val="00E44093"/>
    <w:rsid w:val="00E57AA5"/>
    <w:rsid w:val="00EF2B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2B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57AA5"/>
    <w:pPr>
      <w:tabs>
        <w:tab w:val="center" w:pos="4536"/>
        <w:tab w:val="right" w:pos="9072"/>
      </w:tabs>
    </w:pPr>
  </w:style>
  <w:style w:type="character" w:customStyle="1" w:styleId="En-tteCar">
    <w:name w:val="En-tête Car"/>
    <w:basedOn w:val="Policepardfaut"/>
    <w:link w:val="En-tte"/>
    <w:uiPriority w:val="99"/>
    <w:rsid w:val="00E57AA5"/>
  </w:style>
  <w:style w:type="paragraph" w:styleId="Pieddepage">
    <w:name w:val="footer"/>
    <w:basedOn w:val="Normal"/>
    <w:link w:val="PieddepageCar"/>
    <w:uiPriority w:val="99"/>
    <w:unhideWhenUsed/>
    <w:rsid w:val="00E57AA5"/>
    <w:pPr>
      <w:tabs>
        <w:tab w:val="center" w:pos="4536"/>
        <w:tab w:val="right" w:pos="9072"/>
      </w:tabs>
    </w:pPr>
  </w:style>
  <w:style w:type="character" w:customStyle="1" w:styleId="PieddepageCar">
    <w:name w:val="Pied de page Car"/>
    <w:basedOn w:val="Policepardfaut"/>
    <w:link w:val="Pieddepage"/>
    <w:uiPriority w:val="99"/>
    <w:rsid w:val="00E57AA5"/>
  </w:style>
  <w:style w:type="paragraph" w:styleId="Notedebasdepage">
    <w:name w:val="footnote text"/>
    <w:basedOn w:val="Normal"/>
    <w:link w:val="NotedebasdepageCar"/>
    <w:uiPriority w:val="99"/>
    <w:semiHidden/>
    <w:unhideWhenUsed/>
    <w:rsid w:val="00660165"/>
    <w:rPr>
      <w:sz w:val="20"/>
      <w:szCs w:val="20"/>
    </w:rPr>
  </w:style>
  <w:style w:type="character" w:customStyle="1" w:styleId="NotedebasdepageCar">
    <w:name w:val="Note de bas de page Car"/>
    <w:basedOn w:val="Policepardfaut"/>
    <w:link w:val="Notedebasdepage"/>
    <w:uiPriority w:val="99"/>
    <w:semiHidden/>
    <w:rsid w:val="00660165"/>
    <w:rPr>
      <w:sz w:val="20"/>
      <w:szCs w:val="20"/>
    </w:rPr>
  </w:style>
  <w:style w:type="character" w:styleId="Appelnotedebasdep">
    <w:name w:val="footnote reference"/>
    <w:basedOn w:val="Policepardfaut"/>
    <w:uiPriority w:val="99"/>
    <w:semiHidden/>
    <w:unhideWhenUsed/>
    <w:rsid w:val="00660165"/>
    <w:rPr>
      <w:vertAlign w:val="superscript"/>
    </w:rPr>
  </w:style>
  <w:style w:type="paragraph" w:styleId="Paragraphedeliste">
    <w:name w:val="List Paragraph"/>
    <w:basedOn w:val="Normal"/>
    <w:uiPriority w:val="34"/>
    <w:qFormat/>
    <w:rsid w:val="00A26E7A"/>
    <w:pPr>
      <w:ind w:left="720"/>
      <w:contextualSpacing/>
    </w:pPr>
  </w:style>
  <w:style w:type="character" w:styleId="Lienhypertexte">
    <w:name w:val="Hyperlink"/>
    <w:basedOn w:val="Policepardfaut"/>
    <w:uiPriority w:val="99"/>
    <w:unhideWhenUsed/>
    <w:rsid w:val="000B426E"/>
    <w:rPr>
      <w:color w:val="0563C1" w:themeColor="hyperlink"/>
      <w:u w:val="single"/>
    </w:rPr>
  </w:style>
  <w:style w:type="character" w:customStyle="1" w:styleId="Mentionnonrsolue1">
    <w:name w:val="Mention non résolue1"/>
    <w:basedOn w:val="Policepardfaut"/>
    <w:uiPriority w:val="99"/>
    <w:semiHidden/>
    <w:unhideWhenUsed/>
    <w:rsid w:val="000B426E"/>
    <w:rPr>
      <w:color w:val="605E5C"/>
      <w:shd w:val="clear" w:color="auto" w:fill="E1DFDD"/>
    </w:rPr>
  </w:style>
  <w:style w:type="character" w:styleId="Marquedecommentaire">
    <w:name w:val="annotation reference"/>
    <w:basedOn w:val="Policepardfaut"/>
    <w:uiPriority w:val="99"/>
    <w:semiHidden/>
    <w:unhideWhenUsed/>
    <w:rsid w:val="007D5096"/>
    <w:rPr>
      <w:sz w:val="16"/>
      <w:szCs w:val="16"/>
    </w:rPr>
  </w:style>
  <w:style w:type="paragraph" w:styleId="Commentaire">
    <w:name w:val="annotation text"/>
    <w:basedOn w:val="Normal"/>
    <w:link w:val="CommentaireCar"/>
    <w:uiPriority w:val="99"/>
    <w:semiHidden/>
    <w:unhideWhenUsed/>
    <w:rsid w:val="007D5096"/>
    <w:rPr>
      <w:sz w:val="20"/>
      <w:szCs w:val="20"/>
    </w:rPr>
  </w:style>
  <w:style w:type="character" w:customStyle="1" w:styleId="CommentaireCar">
    <w:name w:val="Commentaire Car"/>
    <w:basedOn w:val="Policepardfaut"/>
    <w:link w:val="Commentaire"/>
    <w:uiPriority w:val="99"/>
    <w:semiHidden/>
    <w:rsid w:val="007D5096"/>
    <w:rPr>
      <w:sz w:val="20"/>
      <w:szCs w:val="20"/>
    </w:rPr>
  </w:style>
  <w:style w:type="paragraph" w:styleId="Objetducommentaire">
    <w:name w:val="annotation subject"/>
    <w:basedOn w:val="Commentaire"/>
    <w:next w:val="Commentaire"/>
    <w:link w:val="ObjetducommentaireCar"/>
    <w:uiPriority w:val="99"/>
    <w:semiHidden/>
    <w:unhideWhenUsed/>
    <w:rsid w:val="007D5096"/>
    <w:rPr>
      <w:b/>
      <w:bCs/>
    </w:rPr>
  </w:style>
  <w:style w:type="character" w:customStyle="1" w:styleId="ObjetducommentaireCar">
    <w:name w:val="Objet du commentaire Car"/>
    <w:basedOn w:val="CommentaireCar"/>
    <w:link w:val="Objetducommentaire"/>
    <w:uiPriority w:val="99"/>
    <w:semiHidden/>
    <w:rsid w:val="007D5096"/>
    <w:rPr>
      <w:b/>
      <w:bCs/>
      <w:sz w:val="20"/>
      <w:szCs w:val="20"/>
    </w:rPr>
  </w:style>
  <w:style w:type="paragraph" w:styleId="Textedebulles">
    <w:name w:val="Balloon Text"/>
    <w:basedOn w:val="Normal"/>
    <w:link w:val="TextedebullesCar"/>
    <w:uiPriority w:val="99"/>
    <w:semiHidden/>
    <w:unhideWhenUsed/>
    <w:rsid w:val="007D5096"/>
    <w:rPr>
      <w:rFonts w:ascii="Tahoma" w:hAnsi="Tahoma" w:cs="Tahoma"/>
      <w:sz w:val="16"/>
      <w:szCs w:val="16"/>
    </w:rPr>
  </w:style>
  <w:style w:type="character" w:customStyle="1" w:styleId="TextedebullesCar">
    <w:name w:val="Texte de bulles Car"/>
    <w:basedOn w:val="Policepardfaut"/>
    <w:link w:val="Textedebulles"/>
    <w:uiPriority w:val="99"/>
    <w:semiHidden/>
    <w:rsid w:val="007D5096"/>
    <w:rPr>
      <w:rFonts w:ascii="Tahoma" w:hAnsi="Tahoma" w:cs="Tahoma"/>
      <w:sz w:val="16"/>
      <w:szCs w:val="16"/>
    </w:rPr>
  </w:style>
  <w:style w:type="table" w:styleId="Grilledutableau">
    <w:name w:val="Table Grid"/>
    <w:basedOn w:val="TableauNormal"/>
    <w:uiPriority w:val="39"/>
    <w:unhideWhenUsed/>
    <w:rsid w:val="0023447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assemblee-nationale.fr/14/pdf/amendements_commissions/cloi/0420-01.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DBF5F-753D-4152-AD9F-89BE62520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1971</Words>
  <Characters>10842</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Mi</Company>
  <LinksUpToDate>false</LinksUpToDate>
  <CharactersWithSpaces>12788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Benoît Chapuis</dc:creator>
  <cp:lastModifiedBy>bourronst</cp:lastModifiedBy>
  <cp:revision>2</cp:revision>
  <dcterms:created xsi:type="dcterms:W3CDTF">2020-06-25T11:07:00Z</dcterms:created>
  <dcterms:modified xsi:type="dcterms:W3CDTF">2020-06-25T11:07:00Z</dcterms:modified>
</cp:coreProperties>
</file>