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xml:space="preserve">
  <w:body>
    <w:p w14:paraId="3D3DA614" w14:textId="77777777" w:rsidRDefault="006F0274" w:rsidP="005300C2">
      <w:pPr>
        <w:pBdr>
          <w:top w:val="single" w:sz="12" w:space="1" w:color="auto"/>
          <w:left w:val="single" w:sz="12" w:space="4" w:color="auto"/>
          <w:bottom w:val="single" w:sz="12" w:space="1" w:color="auto"/>
          <w:right w:val="single" w:sz="12" w:space="4" w:color="auto"/>
        </w:pBdr>
        <w:ind w:left="-142" w:right="-144"/>
        <w:jc w:val="center"/>
        <w:rPr>
          <w:b/>
          <w:bCs/>
          <w:sz w:val="28"/>
          <w:szCs w:val="28"/>
        </w:rPr>
      </w:pPr>
      <w:r>
        <w:rPr>
          <w:b/>
          <w:bCs/>
          <w:sz w:val="28"/>
          <w:szCs w:val="28"/>
        </w:rPr>
        <w:t>Annexe n ° 5 </w:t>
      </w:r>
    </w:p>
    <w:p w14:paraId="011913B4" w14:textId="77777777" w:rsidRDefault="005300C2" w:rsidP="005300C2">
      <w:pPr>
        <w:pBdr>
          <w:top w:val="single" w:sz="12" w:space="1" w:color="auto"/>
          <w:left w:val="single" w:sz="12" w:space="4" w:color="auto"/>
          <w:bottom w:val="single" w:sz="12" w:space="1" w:color="auto"/>
          <w:right w:val="single" w:sz="12" w:space="4" w:color="auto"/>
        </w:pBdr>
        <w:ind w:left="-142" w:right="-144"/>
        <w:jc w:val="center"/>
        <w:rPr>
          <w:b/>
          <w:bCs/>
          <w:sz w:val="28"/>
          <w:szCs w:val="28"/>
        </w:rPr>
      </w:pPr>
    </w:p>
    <w:p w14:paraId="3A1589FA" w14:textId="4A51B9E8" w:rsidRDefault="005374E0" w:rsidP="005300C2">
      <w:pPr>
        <w:pBdr>
          <w:top w:val="single" w:sz="12" w:space="1" w:color="auto"/>
          <w:left w:val="single" w:sz="12" w:space="4" w:color="auto"/>
          <w:bottom w:val="single" w:sz="12" w:space="1" w:color="auto"/>
          <w:right w:val="single" w:sz="12" w:space="4" w:color="auto"/>
        </w:pBdr>
        <w:ind w:left="-142" w:right="-144"/>
        <w:jc w:val="center"/>
        <w:rPr>
          <w:b/>
          <w:bCs/>
          <w:sz w:val="28"/>
          <w:szCs w:val="28"/>
        </w:rPr>
      </w:pPr>
      <w:r>
        <w:rPr>
          <w:b/>
          <w:bCs/>
          <w:sz w:val="28"/>
          <w:szCs w:val="28"/>
        </w:rPr>
        <w:t>Déclaration au titre des nominations équilibrées pour l'année 2025</w:t>
      </w:r>
    </w:p>
    <w:p w14:paraId="675B0E64" w14:textId="77777777" w:rsidRDefault="005374E0" w:rsidP="005300C2">
      <w:pPr>
        <w:pBdr>
          <w:top w:val="single" w:sz="12" w:space="1" w:color="auto"/>
          <w:left w:val="single" w:sz="12" w:space="4" w:color="auto"/>
          <w:bottom w:val="single" w:sz="12" w:space="1" w:color="auto"/>
          <w:right w:val="single" w:sz="12" w:space="4" w:color="auto"/>
        </w:pBdr>
        <w:ind w:left="-142" w:right="-144"/>
        <w:jc w:val="center"/>
        <w:rPr>
          <w:b/>
          <w:bCs/>
          <w:sz w:val="28"/>
          <w:szCs w:val="28"/>
        </w:rPr>
      </w:pPr>
    </w:p>
    <w:p w14:paraId="2B43FE14" w14:textId="4D36D7FC" w:rsidRDefault="005374E0" w:rsidP="005300C2">
      <w:pPr>
        <w:pBdr>
          <w:top w:val="single" w:sz="12" w:space="1" w:color="auto"/>
          <w:left w:val="single" w:sz="12" w:space="4" w:color="auto"/>
          <w:bottom w:val="single" w:sz="12" w:space="1" w:color="auto"/>
          <w:right w:val="single" w:sz="12" w:space="4" w:color="auto"/>
        </w:pBdr>
        <w:ind w:left="-142" w:right="-144"/>
        <w:jc w:val="center"/>
        <w:rPr>
          <w:b/>
          <w:bCs/>
          <w:i/>
          <w:sz w:val="28"/>
          <w:szCs w:val="28"/>
          <w:u w:val="single"/>
        </w:rPr>
      </w:pPr>
      <w:r>
        <w:rPr>
          <w:b/>
          <w:bCs/>
          <w:i/>
          <w:sz w:val="28"/>
          <w:szCs w:val="28"/>
          <w:u w:val="single"/>
        </w:rPr>
        <w:t>Aide au remplissage du </w:t>
      </w:r>
      <w:r>
        <w:rPr>
          <w:b/>
          <w:i/>
          <w:sz w:val="28"/>
          <w:szCs w:val="28"/>
          <w:u w:val="single"/>
        </w:rPr>
        <w:t>« Tableau de déclaration 2025 nominations équilibrées »</w:t>
      </w:r>
      <w:r>
        <w:rPr>
          <w:b/>
          <w:bCs/>
          <w:i/>
          <w:sz w:val="28"/>
          <w:szCs w:val="28"/>
          <w:u w:val="single"/>
        </w:rPr>
        <w:t> à renseigner par le CNFPT</w:t>
      </w:r>
    </w:p>
    <w:p w14:paraId="6A770062" w14:textId="77777777" w:rsidRDefault="005300C2" w:rsidP="005300C2">
      <w:pPr>
        <w:pBdr>
          <w:top w:val="single" w:sz="12" w:space="1" w:color="auto"/>
          <w:left w:val="single" w:sz="12" w:space="4" w:color="auto"/>
          <w:bottom w:val="single" w:sz="12" w:space="1" w:color="auto"/>
          <w:right w:val="single" w:sz="12" w:space="4" w:color="auto"/>
        </w:pBdr>
        <w:ind w:left="-142" w:right="-144"/>
        <w:jc w:val="center"/>
        <w:rPr>
          <w:b/>
          <w:bCs/>
          <w:i/>
          <w:sz w:val="28"/>
          <w:szCs w:val="28"/>
          <w:u w:val="single"/>
        </w:rPr>
      </w:pPr>
    </w:p>
    <w:p w14:paraId="72569580" w14:textId="77777777" w:rsidRDefault="00EE2500" w:rsidP="005374E0">
      <w:pPr>
        <w:ind w:left="-142" w:right="-144"/>
        <w:jc w:val="center"/>
        <w:rPr>
          <w:b/>
          <w:bCs/>
          <w:sz w:val="28"/>
          <w:szCs w:val="28"/>
        </w:rPr>
      </w:pPr>
    </w:p>
    <w:p w14:paraId="7EB250E6" w14:textId="77777777" w:rsidRDefault="00EE2500" w:rsidP="00EE2500">
      <w:pPr>
        <w:ind w:left="-142" w:right="-142" w:firstLine="709"/>
        <w:jc w:val="both"/>
        <w:rPr>
          <w:b/>
          <w:bCs/>
          <w:u w:val="single"/>
        </w:rPr>
      </w:pPr>
      <w:r>
        <w:rPr>
          <w:b/>
          <w:bCs/>
          <w:u w:val="single"/>
        </w:rPr>
        <w:t>Rappel</w:t>
      </w:r>
    </w:p>
    <w:p w14:paraId="19D67C12" w14:textId="77777777" w:rsidRDefault="008D286A" w:rsidP="00425F6E">
      <w:pPr>
        <w:jc w:val="center"/>
        <w:rPr>
          <w:b/>
        </w:rPr>
      </w:pPr>
    </w:p>
    <w:p w14:paraId="54628366" w14:textId="77777777" w:rsidRDefault="00EE2500" w:rsidP="00EE2500">
      <w:pPr>
        <w:ind w:firstLine="708"/>
        <w:jc w:val="both"/>
      </w:pPr>
      <w:r>
        <w:t>En application de l'article L. 132-5 du code général de la fonction publique, les régions, les départements ainsi que les communes et les établissements publics de coopération intercommunale de plus de 40 000 habitants doivent nommer au moins 40 % de personnes de chaque sexe dans leurs emplois de direction. Cette obligation concerne également les emplois de directeur général, directeur adjoint et directeur de délégation du CNFPT.</w:t>
      </w:r>
    </w:p>
    <w:p w14:paraId="6257B71F" w14:textId="77777777" w:rsidRDefault="00EE2500" w:rsidP="00EE2500">
      <w:pPr>
        <w:ind w:firstLine="708"/>
        <w:jc w:val="both"/>
      </w:pPr>
    </w:p>
    <w:p w14:paraId="5A18FCA6" w14:textId="0DA5AB17" w:rsidRDefault="00EE2500" w:rsidP="003D299F">
      <w:pPr>
        <w:ind w:firstLine="708"/>
        <w:jc w:val="both"/>
      </w:pPr>
      <w:r>
        <w:t>Pour vérifier le respect de cette obligation, la déclaration des nominations effectuées au titre de l'année précédente doit être adressée au préfet (ainsi qu'au comptable assignataire des dépenses), au plus tard le 30 avril de chaque année, en application des articles R. 132-16 et R. 132-17 du code général de la fonction publique, dans un objectif de suivi statistique du dispositif et d'élaboration du rapport annuel.  </w:t>
      </w:r>
    </w:p>
    <w:p w14:paraId="0BA144B9" w14:textId="77777777" w:rsidRDefault="00EE2500" w:rsidP="00EE2500">
      <w:pPr>
        <w:ind w:firstLine="708"/>
        <w:jc w:val="both"/>
      </w:pPr>
    </w:p>
    <w:p w14:paraId="44D62D92" w14:textId="77777777" w:rsidRDefault="00EE2500" w:rsidP="00EE2500">
      <w:pPr>
        <w:ind w:left="-142" w:right="-142" w:firstLine="709"/>
        <w:jc w:val="both"/>
        <w:rPr>
          <w:b/>
          <w:bCs/>
          <w:u w:val="single"/>
        </w:rPr>
      </w:pPr>
      <w:r>
        <w:rPr>
          <w:b/>
          <w:bCs/>
          <w:u w:val="single"/>
        </w:rPr>
        <w:t>Remplissage du tableau</w:t>
      </w:r>
    </w:p>
    <w:p w14:paraId="679F1500" w14:textId="77777777" w:rsidRDefault="00425F6E" w:rsidP="00EE2500">
      <w:pPr>
        <w:ind w:left="-142" w:right="-142" w:firstLine="709"/>
        <w:jc w:val="both"/>
        <w:rPr>
          <w:b/>
          <w:bCs/>
          <w:u w:val="single"/>
        </w:rPr>
      </w:pPr>
    </w:p>
    <w:p w14:paraId="5CF58E78" w14:textId="71F82FAA" w:rsidRDefault="00D27CB6" w:rsidP="00425F6E">
      <w:pPr>
        <w:ind w:firstLine="708"/>
        <w:jc w:val="both"/>
        <w:rPr>
          <w:u w:val="single"/>
        </w:rPr>
      </w:pPr>
      <w:r>
        <w:t>Le tableau dédié au CNFPT se trouve en annexe 5 bis. </w:t>
      </w:r>
      <w:r>
        <w:rPr>
          <w:u w:val="single"/>
        </w:rPr>
        <w:t>Son remplissage concerne les nominations et primo-nominations intervenues après le renouvellement du conseil d'administration.</w:t>
      </w:r>
    </w:p>
    <w:p w14:paraId="536779E5" w14:textId="77777777" w:rsidRDefault="00705164" w:rsidP="00425F6E">
      <w:pPr>
        <w:ind w:firstLine="708"/>
        <w:jc w:val="both"/>
        <w:rPr>
          <w:u w:val="single"/>
        </w:rPr>
      </w:pPr>
    </w:p>
    <w:p w14:paraId="43BC1A09" w14:textId="77777777" w:rsidRDefault="00235B58" w:rsidP="00425F6E">
      <w:pPr>
        <w:ind w:firstLine="708"/>
        <w:jc w:val="both"/>
        <w:rPr>
          <w:b/>
          <w:u w:val="single"/>
        </w:rPr>
      </w:pPr>
      <w:r>
        <w:rPr>
          <w:b/>
          <w:u w:val="single"/>
        </w:rPr>
        <w:t>Seul le CNFPT doit remplir le tableau pour son siège et les délégations régionales, celles-ci n'ayant pas à être sollicitées par les préfectures.</w:t>
      </w:r>
    </w:p>
    <w:p w14:paraId="223FAEED" w14:textId="77777777" w:rsidRDefault="00E91CB5" w:rsidP="00425F6E">
      <w:pPr>
        <w:ind w:firstLine="708"/>
        <w:jc w:val="both"/>
      </w:pPr>
    </w:p>
    <w:p w14:paraId="609F0B89" w14:textId="61F608B2" w:rsidRDefault="00425F6E" w:rsidP="00285391">
      <w:pPr>
        <w:ind w:firstLine="708"/>
        <w:jc w:val="both"/>
      </w:pPr>
      <w:r>
        <w:t>Sur la ligne (A), le Centre mentionne le nombre total de ses agents (à la place du x) sur emplois fonctionnels au 31 décembre 2025 indépendamment des nominations prononcées en 2025. Sur la même ligne, est précisée la répartition </w:t>
      </w:r>
      <w:r>
        <w:rPr>
          <w:u w:val="single"/>
        </w:rPr>
        <w:t>par emploi</w:t>
      </w:r>
      <w:r>
        <w:t> et par sexe (nombre de femmes directrice générale, d'hommes directeur général, de femmes directrices adjointes, d'hommes directeur adjoint, de femmes directrice de délégation et d'hommes directeur de délégation en fonction au 31 décembre 2025). </w:t>
      </w:r>
    </w:p>
    <w:p w14:paraId="6786A248" w14:textId="77777777" w:rsidRDefault="00A46980" w:rsidP="00B2728E">
      <w:pPr>
        <w:jc w:val="both"/>
      </w:pPr>
    </w:p>
    <w:p w14:paraId="330C83D7" w14:textId="77777777" w:rsidRDefault="009635D5" w:rsidP="00425F6E">
      <w:pPr>
        <w:ind w:firstLine="708"/>
        <w:jc w:val="both"/>
      </w:pPr>
      <w:r>
        <w:t>Les nominations englobent :</w:t>
      </w:r>
    </w:p>
    <w:p w14:paraId="022AA73A" w14:textId="77777777" w:rsidRDefault="009635D5" w:rsidP="00425F6E">
      <w:pPr>
        <w:ind w:firstLine="708"/>
        <w:jc w:val="both"/>
      </w:pPr>
    </w:p>
    <w:p w14:paraId="395E0090" w14:textId="77777777" w:rsidRDefault="009635D5" w:rsidP="009635D5">
      <w:pPr>
        <w:pStyle w:val="Paragraphedeliste"/>
        <w:numPr>
          <w:ilvl w:val="0"/>
          <w:numId w:val="1"/>
        </w:numPr>
        <w:jc w:val="both"/>
      </w:pPr>
      <w:r>
        <w:t>Les « primo-nominations », c'est à dire les nominations dans l'emploi de directeur, de directeur adjoint ou de directeur de délégation d'un agent qui n'occupait pas déjà ces fonctions, soit qu'il ne travaillait pas au CNFPT, soit qu'il y travaillait mais occupait un emploi de grade et non un emploi fonctionnel,</w:t>
      </w:r>
    </w:p>
    <w:p w14:paraId="66485966" w14:textId="77777777" w:rsidRDefault="009635D5" w:rsidP="009635D5">
      <w:pPr>
        <w:pStyle w:val="Paragraphedeliste"/>
        <w:numPr>
          <w:ilvl w:val="0"/>
          <w:numId w:val="1"/>
        </w:numPr>
        <w:jc w:val="both"/>
      </w:pPr>
      <w:r>
        <w:t>Les renouvellements dans l'emploi fonctionnel,</w:t>
      </w:r>
    </w:p>
    <w:p w14:paraId="7E7D3CB6" w14:textId="400796EF" w:rsidRDefault="009635D5" w:rsidP="00285391">
      <w:pPr>
        <w:pStyle w:val="Paragraphedeliste"/>
        <w:numPr>
          <w:ilvl w:val="0"/>
          <w:numId w:val="1"/>
        </w:numPr>
        <w:jc w:val="both"/>
      </w:pPr>
      <w:r>
        <w:t>La nomination d'un directeur de délégation dans les fonctions de directeur adjoint (ou l'inverse).</w:t>
      </w:r>
    </w:p>
    <w:p w14:paraId="7E361B53" w14:textId="77777777" w:rsidRDefault="009334BF" w:rsidP="009334BF">
      <w:pPr>
        <w:pStyle w:val="Paragraphedeliste"/>
        <w:ind w:left="1068"/>
        <w:jc w:val="both"/>
      </w:pPr>
    </w:p>
    <w:p w14:paraId="258F18B1" w14:textId="77777777" w:rsidRDefault="00B52728" w:rsidP="00B52728">
      <w:pPr>
        <w:ind w:left="-142" w:right="-144" w:firstLine="708"/>
        <w:jc w:val="both"/>
        <w:rPr>
          <w:b/>
        </w:rPr>
      </w:pPr>
      <w:r>
        <w:rPr>
          <w:b/>
        </w:rPr>
        <w:t>Nominations et primo-nominations sur emplois fonctionnels :</w:t>
      </w:r>
    </w:p>
    <w:p w14:paraId="7DB2FA77" w14:textId="77777777" w:rsidRDefault="00B52728" w:rsidP="00B52728">
      <w:pPr>
        <w:ind w:left="-142" w:right="-144" w:firstLine="708"/>
        <w:jc w:val="both"/>
      </w:pPr>
    </w:p>
    <w:p w14:paraId="563FA1F6" w14:textId="49A5C6AD" w:rsidRDefault="00B52728" w:rsidP="00B52728">
      <w:pPr>
        <w:ind w:firstLine="708"/>
        <w:jc w:val="both"/>
      </w:pPr>
      <w:r>
        <w:t>(B) : Le centre saisit le nombre de nominations sur emplois fonctionnels réalisées en 2025 en les répartissant par emploi et par sexe.</w:t>
      </w:r>
    </w:p>
    <w:p w14:paraId="62354896" w14:textId="77777777" w:rsidRDefault="00B52728" w:rsidP="00B52728">
      <w:pPr>
        <w:ind w:firstLine="708"/>
        <w:jc w:val="both"/>
      </w:pPr>
    </w:p>
    <w:p w14:paraId="312E83C0" w14:textId="479AC394" w:rsidRDefault="00B52728" w:rsidP="00B52728">
      <w:pPr>
        <w:ind w:firstLine="708"/>
        <w:jc w:val="both"/>
      </w:pPr>
      <w:r>
        <w:t>(C) Le CNFPT saisit le nombre de primo-nominations réalisées en 2025 en les répartissant par emploi et par sexe.</w:t>
      </w:r>
    </w:p>
    <w:p w14:paraId="60812DBF" w14:textId="77777777" w:rsidRDefault="00B52728" w:rsidP="00B52728">
      <w:pPr>
        <w:ind w:firstLine="708"/>
        <w:jc w:val="both"/>
      </w:pPr>
    </w:p>
    <w:p w14:paraId="56C4DFC9" w14:textId="77777777" w:rsidRDefault="00B52728" w:rsidP="00B52728">
      <w:pPr>
        <w:ind w:firstLine="708"/>
        <w:jc w:val="both"/>
      </w:pPr>
      <w:r>
        <w:t>Seules les primo-nominations sont concernées par l'obligation de nominations équilibrées.</w:t>
      </w:r>
    </w:p>
    <w:p w14:paraId="59CA1555" w14:textId="77777777" w:rsidRDefault="00B52728" w:rsidP="00B52728">
      <w:pPr>
        <w:ind w:firstLine="708"/>
        <w:jc w:val="both"/>
      </w:pPr>
    </w:p>
    <w:p w14:paraId="38A14CA0" w14:textId="5CC3F7FB" w:rsidRDefault="00B52728" w:rsidP="00B52728">
      <w:pPr>
        <w:ind w:firstLine="708"/>
        <w:jc w:val="both"/>
      </w:pPr>
      <w:r>
        <w:t>A titre d'exemple, un directeur adjoint (ou directeur de délégation) en fonction nommé en 2019 ne doit figurer ni dans les nominations ni dans les primo-nominations mais il est comptabilisé en (A). Un directeur adjoint (ou directeur de délégation) en fonction depuis 2019 qui est renouvelé dans l'emploi fonctionnel en 2025, doit figurer dans les nominations (B) mais non dans les primo-nominations. De même, un directeur de délégation qui devient directeur adjoint en 2025 est mentionné dans les nominations (B) mais non dans les primo-nominations. Un directeur adjoint (ou directeur de délégation) nommé (et non renouvelé) en 2024 figure à la fois dans les nominations (B) et les primo-nominations (C).</w:t>
      </w:r>
    </w:p>
    <w:p w14:paraId="1F055B70" w14:textId="77777777" w:rsidRDefault="00B52728" w:rsidP="00B52728">
      <w:pPr>
        <w:ind w:firstLine="708"/>
        <w:jc w:val="both"/>
      </w:pPr>
    </w:p>
    <w:p w14:paraId="2B918BD7" w14:textId="77777777" w:rsidRDefault="00B52728" w:rsidP="00B52728">
      <w:pPr>
        <w:ind w:firstLine="708"/>
        <w:jc w:val="both"/>
      </w:pPr>
      <w:r>
        <w:t>Les primo-nominations étant aussi comptabilisées dans les nominations, le nombre des primo-nominations indiqué ne peut jamais être supérieur au nombre des nominations.</w:t>
      </w:r>
    </w:p>
    <w:p w14:paraId="09AE7AC5" w14:textId="77777777" w:rsidRDefault="00B52728" w:rsidP="0063636F">
      <w:pPr>
        <w:ind w:right="-144"/>
        <w:jc w:val="both"/>
        <w:rPr>
          <w:u w:val="single"/>
        </w:rPr>
      </w:pPr>
    </w:p>
    <w:p w14:paraId="05A88BDF" w14:textId="677C61A7" w:rsidRDefault="00B52728" w:rsidP="00B52728">
      <w:pPr>
        <w:ind w:left="426" w:right="-144"/>
        <w:jc w:val="both"/>
      </w:pPr>
      <w:r>
        <w:t>(D)</w:t>
      </w:r>
      <w:r>
        <w:rPr>
          <w:b/>
        </w:rPr>
        <w:t> </w:t>
      </w:r>
      <w:r>
        <w:t>:</w:t>
      </w:r>
      <w:r>
        <w:rPr>
          <w:b/>
          <w:color w:val="FF0000"/>
        </w:rPr>
        <w:t> </w:t>
      </w:r>
      <w:r>
        <w:t>Sont à saisir les nombres de primo-nominations prononcées sur ces emplois après le renouvellement du conseil d'administration ou depuis le dernier cycle achevé en les répartissant par type d'emploi (DG, DGA, Directeur de délégation, Expert de haut niveau-directeur de projet) et par sexe.</w:t>
      </w:r>
    </w:p>
    <w:p w14:paraId="2E0A953F" w14:textId="77777777" w:rsidRDefault="00B52728" w:rsidP="00B52728">
      <w:pPr>
        <w:ind w:right="-144"/>
        <w:jc w:val="both"/>
      </w:pPr>
    </w:p>
    <w:p w14:paraId="670C644E" w14:textId="77777777" w:rsidRDefault="00B52728" w:rsidP="00B52728">
      <w:pPr>
        <w:ind w:left="426" w:right="-144"/>
        <w:jc w:val="both"/>
      </w:pPr>
      <w:r>
        <w:t>(E) : Total C + D. Si ce total est inférieur à 4, ne pas renseigner F ni G. </w:t>
      </w:r>
    </w:p>
    <w:p w14:paraId="6170FD0B" w14:textId="77777777" w:rsidRDefault="00B52728" w:rsidP="00B52728">
      <w:pPr>
        <w:ind w:left="426" w:right="-144"/>
        <w:jc w:val="both"/>
      </w:pPr>
    </w:p>
    <w:p w14:paraId="46A880BD" w14:textId="2AA96D19" w:rsidRDefault="00B52728" w:rsidP="00B52728">
      <w:pPr>
        <w:ind w:left="426" w:right="-144"/>
        <w:jc w:val="both"/>
      </w:pPr>
      <w:r>
        <w:t>(F) : Sont à saisir toutes les primo-nominations d'un cycle entièrement réalisé en 2024 (même au-delà de 4) ou saisir les 4 premières primo-nominations d'un cycle débuté depuis le renouvellement du conseil d'administration.</w:t>
      </w:r>
    </w:p>
    <w:p w14:paraId="495FA229" w14:textId="77777777" w:rsidRDefault="00B52728" w:rsidP="00B52728">
      <w:pPr>
        <w:ind w:left="426" w:right="-144"/>
        <w:jc w:val="both"/>
      </w:pPr>
    </w:p>
    <w:p w14:paraId="74DCCE04" w14:textId="734688D4" w:rsidRDefault="00B52728" w:rsidP="00B52728">
      <w:pPr>
        <w:ind w:left="426" w:right="-144"/>
        <w:jc w:val="both"/>
      </w:pPr>
      <w:r>
        <w:rPr>
          <w:u w:val="single"/>
        </w:rPr>
        <w:t>A noter :</w:t>
      </w:r>
      <w:r>
        <w:t> l'obligation de 40% s'apprécie avec un arrondi à l'unité inférieure. Ainsi, une collectivité qui a primo-nommé 4 personnes en 2025 dont 1 femme et 3 hommes respecte son obligation, car 40 % de 4 = 1,6 arrondi à 1. En revanche, si la collectivité a nommé 5 hommes et 1 femme, elle sera soumise à une pénalité. Ce raisonnement s'applique de la même manière au CNFPT.</w:t>
      </w:r>
    </w:p>
    <w:p w14:paraId="55D86876" w14:textId="77777777" w:rsidRDefault="00B52728" w:rsidP="00B52728">
      <w:pPr>
        <w:ind w:left="426" w:right="-144"/>
        <w:jc w:val="both"/>
      </w:pPr>
    </w:p>
    <w:p w14:paraId="6A2C5E31" w14:textId="7E6B620A" w:rsidRDefault="00B52728" w:rsidP="004B786F">
      <w:pPr>
        <w:ind w:left="426" w:right="-144"/>
        <w:jc w:val="both"/>
      </w:pPr>
      <w:r>
        <w:t>(G) : Sont à saisir les primo-nominations constituant un 2</w:t>
      </w:r>
      <w:r>
        <w:rPr>
          <w:vertAlign w:val="superscript"/>
        </w:rPr>
        <w:t>ème</w:t>
      </w:r>
      <w:r>
        <w:t> cycle réalisé en 2025 (le 1</w:t>
      </w:r>
      <w:r>
        <w:rPr>
          <w:vertAlign w:val="superscript"/>
        </w:rPr>
        <w:t>er</w:t>
      </w:r>
      <w:r>
        <w:t> ayant été constitué et s'arrêtant à 4).</w:t>
      </w:r>
    </w:p>
    <w:sectPr w:rsidSect="008D286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BA0B8" w14:textId="77777777" w:rsidR="00D654BD" w:rsidRDefault="00D654BD" w:rsidP="00212055">
      <w:r>
        <w:separator/>
      </w:r>
    </w:p>
  </w:endnote>
  <w:endnote w:type="continuationSeparator" w:id="0">
    <w:p w14:paraId="62D27968" w14:textId="77777777" w:rsidR="00D654BD" w:rsidRDefault="00D654BD" w:rsidP="00212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01830"/>
      <w:docPartObj>
        <w:docPartGallery w:val="Page Numbers (Bottom of Page)"/>
        <w:docPartUnique/>
      </w:docPartObj>
    </w:sdtPr>
    <w:sdtEndPr/>
    <w:sdtContent>
      <w:p w14:paraId="3785059B" w14:textId="6A27C291" w:rsidRDefault="00D654BD">
        <w:pPr>
          <w:pStyle w:val="Pieddepage"/>
          <w:jc w:val="right"/>
        </w:pPr>
        <w:r>
          <w:fldChar w:fldCharType="begin"/>
        </w:r>
        <w:r>
          <w:instrText xml:space="preserve"> PAGE   \* MERGEFORMAT </w:instrText>
        </w:r>
        <w:r>
          <w:fldChar w:fldCharType="separate"/>
        </w:r>
        <w:r>
          <w:t>1</w:t>
        </w:r>
        <w:r>
          <w:fldChar w:fldCharType="end"/>
        </w:r>
      </w:p>
    </w:sdtContent>
  </w:sdt>
  <w:p w14:paraId="0534D352" w14:textId="77777777" w:rsidRDefault="00FE592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33B53" w14:textId="77777777" w:rsidR="00D654BD" w:rsidRDefault="00D654BD" w:rsidP="00212055">
      <w:r>
        <w:separator/>
      </w:r>
    </w:p>
  </w:footnote>
  <w:footnote w:type="continuationSeparator" w:id="0">
    <w:p w14:paraId="7EA64819" w14:textId="77777777" w:rsidR="00D654BD" w:rsidRDefault="00D654BD" w:rsidP="00212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038B6" w14:textId="6229F264" w:rsidRDefault="00FE5924" w:rsidP="00212055">
    <w:pPr>
      <w:pStyle w:val="En-tte"/>
      <w:ind w:left="-851"/>
      <w:rPr>
        <w:sz w:val="18"/>
        <w:szCs w:val="18"/>
      </w:rPr>
    </w:pPr>
    <w:r>
      <w:rPr>
        <w:sz w:val="16"/>
        <w:szCs w:val="16"/>
      </w:rPr>
      <w:t xml:space="preserve">DGCL - FP2 - Nominations équilibrées - Annexe n° 5 – Campagne 2025 </w:t>
    </w:r>
    <w:r>
      <w:rPr>
        <w:sz w:val="18"/>
        <w:szCs w:val="18"/>
      </w:rPr>
      <w:tab/>
    </w:r>
    <w:r>
      <w:rPr>
        <w:sz w:val="18"/>
        <w:szCs w:val="18"/>
      </w:rPr>
      <w:tab/>
    </w:r>
    <w:r>
      <w:rPr>
        <w:sz w:val="18"/>
        <w:szCs w:val="18"/>
      </w:rPr>
      <w:tab/>
    </w:r>
  </w:p>
  <w:p w14:paraId="136C970E" w14:textId="77777777" w:rsidRDefault="00FE5924" w:rsidP="00212055">
    <w:pPr>
      <w:pStyle w:val="En-tte"/>
      <w:ind w:left="-851"/>
      <w:rPr>
        <w:sz w:val="18"/>
        <w:szCs w:val="18"/>
      </w:rPr>
    </w:pPr>
    <w:r>
      <w:rPr>
        <w:sz w:val="18"/>
        <w:szCs w:val="18"/>
      </w:rPr>
      <w:tab/>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57DFA"/>
    <w:multiLevelType w:val="hybridMultilevel"/>
    <w:tmpl w:val="46EC4D9C"/>
    <w:lvl w:ilvl="0" w:tplc="DC008C3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proofState w:spelling="clean" w:grammar="clean"/>
  <w:trackRevisions/>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F6E"/>
    <w:rsid w:val="000853E6"/>
    <w:rsid w:val="00093606"/>
    <w:rsid w:val="000C5A2B"/>
    <w:rsid w:val="001069E2"/>
    <w:rsid w:val="0010779C"/>
    <w:rsid w:val="00113FB1"/>
    <w:rsid w:val="001A1EC1"/>
    <w:rsid w:val="001A6F5D"/>
    <w:rsid w:val="001C3691"/>
    <w:rsid w:val="00212055"/>
    <w:rsid w:val="00213760"/>
    <w:rsid w:val="00215BD0"/>
    <w:rsid w:val="00234C70"/>
    <w:rsid w:val="00235B58"/>
    <w:rsid w:val="00242D9D"/>
    <w:rsid w:val="002466A7"/>
    <w:rsid w:val="00285391"/>
    <w:rsid w:val="002B248D"/>
    <w:rsid w:val="002B5A0A"/>
    <w:rsid w:val="002C2E61"/>
    <w:rsid w:val="002D3C7A"/>
    <w:rsid w:val="003112EE"/>
    <w:rsid w:val="003132DD"/>
    <w:rsid w:val="00356F90"/>
    <w:rsid w:val="003813FA"/>
    <w:rsid w:val="003C46F0"/>
    <w:rsid w:val="003D299F"/>
    <w:rsid w:val="00425F6E"/>
    <w:rsid w:val="004301C5"/>
    <w:rsid w:val="004B786F"/>
    <w:rsid w:val="004D3AE4"/>
    <w:rsid w:val="00512476"/>
    <w:rsid w:val="0052561B"/>
    <w:rsid w:val="00525A98"/>
    <w:rsid w:val="005300C2"/>
    <w:rsid w:val="005374E0"/>
    <w:rsid w:val="00581AAF"/>
    <w:rsid w:val="005D0798"/>
    <w:rsid w:val="005E1E40"/>
    <w:rsid w:val="005F28FB"/>
    <w:rsid w:val="005F5BF4"/>
    <w:rsid w:val="00625AC7"/>
    <w:rsid w:val="0063636F"/>
    <w:rsid w:val="006614AE"/>
    <w:rsid w:val="0066258E"/>
    <w:rsid w:val="00675336"/>
    <w:rsid w:val="006F0274"/>
    <w:rsid w:val="006F4D40"/>
    <w:rsid w:val="006F5AD7"/>
    <w:rsid w:val="00705164"/>
    <w:rsid w:val="007145EF"/>
    <w:rsid w:val="00725500"/>
    <w:rsid w:val="007B1EC8"/>
    <w:rsid w:val="007B7376"/>
    <w:rsid w:val="00813CCD"/>
    <w:rsid w:val="00822693"/>
    <w:rsid w:val="00844728"/>
    <w:rsid w:val="008776AC"/>
    <w:rsid w:val="008A42A9"/>
    <w:rsid w:val="008A7287"/>
    <w:rsid w:val="008B5A2B"/>
    <w:rsid w:val="008D286A"/>
    <w:rsid w:val="008E3828"/>
    <w:rsid w:val="009334BF"/>
    <w:rsid w:val="00956217"/>
    <w:rsid w:val="009635D5"/>
    <w:rsid w:val="00984F44"/>
    <w:rsid w:val="009953A6"/>
    <w:rsid w:val="00A23BDC"/>
    <w:rsid w:val="00A40AF2"/>
    <w:rsid w:val="00A46980"/>
    <w:rsid w:val="00AB7569"/>
    <w:rsid w:val="00AC0DBA"/>
    <w:rsid w:val="00AE02F5"/>
    <w:rsid w:val="00B03A0D"/>
    <w:rsid w:val="00B161A7"/>
    <w:rsid w:val="00B26B61"/>
    <w:rsid w:val="00B2728E"/>
    <w:rsid w:val="00B52728"/>
    <w:rsid w:val="00BA39AF"/>
    <w:rsid w:val="00BC04DC"/>
    <w:rsid w:val="00BC3E00"/>
    <w:rsid w:val="00BE070D"/>
    <w:rsid w:val="00BE30C7"/>
    <w:rsid w:val="00BF0E48"/>
    <w:rsid w:val="00C00A94"/>
    <w:rsid w:val="00C07783"/>
    <w:rsid w:val="00C15409"/>
    <w:rsid w:val="00C36193"/>
    <w:rsid w:val="00C47D1B"/>
    <w:rsid w:val="00C85DC0"/>
    <w:rsid w:val="00CA3FB0"/>
    <w:rsid w:val="00CD2B7F"/>
    <w:rsid w:val="00CF19DA"/>
    <w:rsid w:val="00CF509F"/>
    <w:rsid w:val="00D27CB6"/>
    <w:rsid w:val="00D5401B"/>
    <w:rsid w:val="00D654BD"/>
    <w:rsid w:val="00D87721"/>
    <w:rsid w:val="00E049C4"/>
    <w:rsid w:val="00E82386"/>
    <w:rsid w:val="00E91CB5"/>
    <w:rsid w:val="00EA3B8B"/>
    <w:rsid w:val="00EB2E37"/>
    <w:rsid w:val="00ED7041"/>
    <w:rsid w:val="00EE2500"/>
    <w:rsid w:val="00F6053B"/>
    <w:rsid w:val="00FC6732"/>
    <w:rsid w:val="00FE5924"/>
    <w:rsid w:val="00FE5E0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F87942B"/>
  <w15:docId w15:val="{81213C90-AA68-4083-9A9C-75B148A7B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F6E"/>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635D5"/>
    <w:pPr>
      <w:ind w:left="720"/>
      <w:contextualSpacing/>
    </w:pPr>
  </w:style>
  <w:style w:type="paragraph" w:styleId="En-tte">
    <w:name w:val="header"/>
    <w:basedOn w:val="Normal"/>
    <w:link w:val="En-tteCar"/>
    <w:uiPriority w:val="99"/>
    <w:unhideWhenUsed/>
    <w:rsid w:val="00212055"/>
    <w:pPr>
      <w:tabs>
        <w:tab w:val="center" w:pos="4536"/>
        <w:tab w:val="right" w:pos="9072"/>
      </w:tabs>
    </w:pPr>
  </w:style>
  <w:style w:type="character" w:customStyle="1" w:styleId="En-tteCar">
    <w:name w:val="En-tête Car"/>
    <w:basedOn w:val="Policepardfaut"/>
    <w:link w:val="En-tte"/>
    <w:uiPriority w:val="99"/>
    <w:rsid w:val="00212055"/>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212055"/>
    <w:pPr>
      <w:tabs>
        <w:tab w:val="center" w:pos="4536"/>
        <w:tab w:val="right" w:pos="9072"/>
      </w:tabs>
    </w:pPr>
  </w:style>
  <w:style w:type="character" w:customStyle="1" w:styleId="PieddepageCar">
    <w:name w:val="Pied de page Car"/>
    <w:basedOn w:val="Policepardfaut"/>
    <w:link w:val="Pieddepage"/>
    <w:uiPriority w:val="99"/>
    <w:rsid w:val="00212055"/>
    <w:rPr>
      <w:rFonts w:ascii="Times New Roman" w:eastAsia="Times New Roman" w:hAnsi="Times New Roman" w:cs="Times New Roman"/>
      <w:sz w:val="24"/>
      <w:szCs w:val="24"/>
      <w:lang w:eastAsia="fr-FR"/>
    </w:rPr>
  </w:style>
  <w:style w:type="character" w:styleId="Lienhypertexte">
    <w:name w:val="Hyperlink"/>
    <w:basedOn w:val="Policepardfaut"/>
    <w:rsid w:val="00EE2500"/>
    <w:rPr>
      <w:color w:val="0000FF"/>
      <w:u w:val="single"/>
    </w:rPr>
  </w:style>
  <w:style w:type="paragraph" w:styleId="Textedebulles">
    <w:name w:val="Balloon Text"/>
    <w:basedOn w:val="Normal"/>
    <w:link w:val="TextedebullesCar"/>
    <w:uiPriority w:val="99"/>
    <w:semiHidden/>
    <w:unhideWhenUsed/>
    <w:rsid w:val="00D5401B"/>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401B"/>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B52728"/>
    <w:rPr>
      <w:sz w:val="16"/>
      <w:szCs w:val="16"/>
    </w:rPr>
  </w:style>
  <w:style w:type="paragraph" w:styleId="Commentaire">
    <w:name w:val="annotation text"/>
    <w:basedOn w:val="Normal"/>
    <w:link w:val="CommentaireCar"/>
    <w:uiPriority w:val="99"/>
    <w:semiHidden/>
    <w:unhideWhenUsed/>
    <w:rsid w:val="00B52728"/>
    <w:rPr>
      <w:sz w:val="20"/>
      <w:szCs w:val="20"/>
    </w:rPr>
  </w:style>
  <w:style w:type="character" w:customStyle="1" w:styleId="CommentaireCar">
    <w:name w:val="Commentaire Car"/>
    <w:basedOn w:val="Policepardfaut"/>
    <w:link w:val="Commentaire"/>
    <w:uiPriority w:val="99"/>
    <w:semiHidden/>
    <w:rsid w:val="00B52728"/>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B52728"/>
    <w:rPr>
      <w:b/>
      <w:bCs/>
    </w:rPr>
  </w:style>
  <w:style w:type="character" w:customStyle="1" w:styleId="ObjetducommentaireCar">
    <w:name w:val="Objet du commentaire Car"/>
    <w:basedOn w:val="CommentaireCar"/>
    <w:link w:val="Objetducommentaire"/>
    <w:uiPriority w:val="99"/>
    <w:semiHidden/>
    <w:rsid w:val="00B52728"/>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733</Words>
  <Characters>4036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MI</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GAILLARD Nathalie;OpenTBS 1.9.11</dc:creator>
  <cp:lastModifiedBy>DUCAS Pierre-Maxime</cp:lastModifiedBy>
  <cp:revision>6</cp:revision>
  <cp:lastPrinted>2022-02-23T11:03:00Z</cp:lastPrinted>
  <dcterms:created xsi:type="dcterms:W3CDTF">2026-03-18T16:40:00Z</dcterms:created>
  <dcterms:modified xsi:type="dcterms:W3CDTF">2026-04-07T17:33:00Z</dcterms:modified>
</cp:coreProperties>
</file>