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86" w:rsidRPr="0015263B" w:rsidRDefault="00584C86" w:rsidP="00584C86">
      <w:pPr>
        <w:jc w:val="center"/>
        <w:rPr>
          <w:b/>
          <w:sz w:val="32"/>
        </w:rPr>
      </w:pPr>
      <w:r w:rsidRPr="0015263B">
        <w:rPr>
          <w:b/>
          <w:sz w:val="32"/>
        </w:rPr>
        <w:t>Les finances des communes : l’équilibre des comptes (2018)</w:t>
      </w:r>
    </w:p>
    <w:p w:rsidR="00584C86" w:rsidRDefault="00584C86">
      <w:pPr>
        <w:sectPr w:rsidR="00584C86" w:rsidSect="005661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4C86" w:rsidRDefault="00584C86" w:rsidP="00584C86">
      <w:pPr>
        <w:jc w:val="center"/>
      </w:pPr>
      <w:r w:rsidRPr="0015263B">
        <w:rPr>
          <w:sz w:val="28"/>
        </w:rPr>
        <w:lastRenderedPageBreak/>
        <w:t>Dépenses</w:t>
      </w:r>
      <w:r>
        <w:rPr>
          <w:sz w:val="28"/>
        </w:rPr>
        <w:br w:type="column"/>
      </w:r>
      <w:r w:rsidRPr="0015263B">
        <w:rPr>
          <w:sz w:val="28"/>
        </w:rPr>
        <w:lastRenderedPageBreak/>
        <w:t>Recettes</w:t>
      </w:r>
    </w:p>
    <w:p w:rsidR="00584C86" w:rsidRDefault="00584C86">
      <w:pPr>
        <w:sectPr w:rsidR="00584C86" w:rsidSect="00584C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84C86" w:rsidRDefault="00584C86" w:rsidP="00584C86">
      <w:r>
        <w:lastRenderedPageBreak/>
        <w:t>FONCTIONNEMENT</w:t>
      </w:r>
    </w:p>
    <w:p w:rsidR="00584C86" w:rsidRDefault="00584C86" w:rsidP="00584C86">
      <w:pPr>
        <w:sectPr w:rsidR="00584C86" w:rsidSect="00584C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4322"/>
      </w:tblGrid>
      <w:tr w:rsidR="00584C86" w:rsidTr="00ED3C1B">
        <w:trPr>
          <w:trHeight w:hRule="exact" w:val="2132"/>
        </w:trPr>
        <w:tc>
          <w:tcPr>
            <w:tcW w:w="4322" w:type="dxa"/>
            <w:shd w:val="clear" w:color="auto" w:fill="F2DBDB" w:themeFill="accent2" w:themeFillTint="33"/>
            <w:vAlign w:val="center"/>
          </w:tcPr>
          <w:p w:rsidR="00584C86" w:rsidRPr="008B1AAA" w:rsidRDefault="00584C86" w:rsidP="00CB699D">
            <w:pPr>
              <w:jc w:val="center"/>
              <w:rPr>
                <w:sz w:val="20"/>
              </w:rPr>
            </w:pPr>
            <w:r w:rsidRPr="008B1AAA">
              <w:rPr>
                <w:sz w:val="20"/>
              </w:rPr>
              <w:lastRenderedPageBreak/>
              <w:t>Frais de personnel</w:t>
            </w:r>
          </w:p>
          <w:p w:rsidR="00584C86" w:rsidRPr="008B1AAA" w:rsidRDefault="00584C86" w:rsidP="00CB699D">
            <w:pPr>
              <w:jc w:val="center"/>
              <w:rPr>
                <w:sz w:val="20"/>
              </w:rPr>
            </w:pPr>
            <w:r w:rsidRPr="008B1AAA">
              <w:rPr>
                <w:sz w:val="20"/>
              </w:rPr>
              <w:t>37,6 Md€ (+0,0 %)</w:t>
            </w:r>
          </w:p>
          <w:p w:rsidR="00584C86" w:rsidRPr="008B1AAA" w:rsidRDefault="00584C86" w:rsidP="00CB699D">
            <w:pPr>
              <w:jc w:val="center"/>
              <w:rPr>
                <w:sz w:val="20"/>
              </w:rPr>
            </w:pPr>
          </w:p>
        </w:tc>
      </w:tr>
      <w:tr w:rsidR="00584C86" w:rsidTr="00ED3C1B">
        <w:trPr>
          <w:trHeight w:hRule="exact" w:val="947"/>
        </w:trPr>
        <w:tc>
          <w:tcPr>
            <w:tcW w:w="4322" w:type="dxa"/>
            <w:shd w:val="clear" w:color="auto" w:fill="E5B8B7" w:themeFill="accent2" w:themeFillTint="66"/>
            <w:vAlign w:val="center"/>
          </w:tcPr>
          <w:p w:rsidR="00584C86" w:rsidRPr="008B1AAA" w:rsidRDefault="00584C86" w:rsidP="00CB699D">
            <w:pPr>
              <w:jc w:val="center"/>
              <w:rPr>
                <w:sz w:val="20"/>
              </w:rPr>
            </w:pPr>
            <w:r w:rsidRPr="008B1AAA">
              <w:rPr>
                <w:sz w:val="20"/>
              </w:rPr>
              <w:t>Achats et charges externes</w:t>
            </w:r>
          </w:p>
          <w:p w:rsidR="00584C86" w:rsidRPr="008B1AAA" w:rsidRDefault="00584C86" w:rsidP="00CB699D">
            <w:pPr>
              <w:jc w:val="center"/>
              <w:rPr>
                <w:sz w:val="20"/>
              </w:rPr>
            </w:pPr>
            <w:r w:rsidRPr="008B1AAA">
              <w:rPr>
                <w:sz w:val="20"/>
              </w:rPr>
              <w:t>16,7 Md€ (+2,0 %)</w:t>
            </w:r>
          </w:p>
        </w:tc>
      </w:tr>
      <w:tr w:rsidR="00584C86" w:rsidTr="00ED3C1B">
        <w:trPr>
          <w:trHeight w:hRule="exact" w:val="488"/>
        </w:trPr>
        <w:tc>
          <w:tcPr>
            <w:tcW w:w="4322" w:type="dxa"/>
            <w:shd w:val="clear" w:color="auto" w:fill="D99594" w:themeFill="accent2" w:themeFillTint="99"/>
            <w:vAlign w:val="center"/>
          </w:tcPr>
          <w:p w:rsidR="00584C86" w:rsidRPr="008B1AAA" w:rsidRDefault="00584C86" w:rsidP="00CB699D">
            <w:pPr>
              <w:jc w:val="center"/>
              <w:rPr>
                <w:sz w:val="20"/>
              </w:rPr>
            </w:pPr>
            <w:r w:rsidRPr="008B1AAA">
              <w:rPr>
                <w:sz w:val="20"/>
              </w:rPr>
              <w:t>Dépenses d’intervention</w:t>
            </w:r>
          </w:p>
          <w:p w:rsidR="00584C86" w:rsidRPr="008B1AAA" w:rsidRDefault="00584C86" w:rsidP="00CB699D">
            <w:pPr>
              <w:jc w:val="center"/>
              <w:rPr>
                <w:sz w:val="20"/>
              </w:rPr>
            </w:pPr>
            <w:r w:rsidRPr="008B1AAA">
              <w:rPr>
                <w:sz w:val="20"/>
              </w:rPr>
              <w:t>8,6 Md€ (- 6,6 %)</w:t>
            </w:r>
          </w:p>
        </w:tc>
      </w:tr>
      <w:tr w:rsidR="00584C86" w:rsidTr="00ED3C1B">
        <w:trPr>
          <w:trHeight w:hRule="exact" w:val="261"/>
        </w:trPr>
        <w:tc>
          <w:tcPr>
            <w:tcW w:w="4322" w:type="dxa"/>
            <w:shd w:val="clear" w:color="auto" w:fill="943634" w:themeFill="accent2" w:themeFillShade="BF"/>
            <w:vAlign w:val="center"/>
          </w:tcPr>
          <w:p w:rsidR="00584C86" w:rsidRPr="00ED3C1B" w:rsidRDefault="00584C86" w:rsidP="00CB699D">
            <w:pPr>
              <w:jc w:val="center"/>
              <w:rPr>
                <w:color w:val="FFFFFF" w:themeColor="background1"/>
                <w:sz w:val="20"/>
              </w:rPr>
            </w:pPr>
            <w:r w:rsidRPr="00ED3C1B">
              <w:rPr>
                <w:color w:val="FFFFFF" w:themeColor="background1"/>
                <w:sz w:val="20"/>
              </w:rPr>
              <w:t>Autres : 4,6 Md€ (- 2,8 %)</w:t>
            </w:r>
          </w:p>
        </w:tc>
      </w:tr>
      <w:tr w:rsidR="00584C86" w:rsidTr="00ED3C1B">
        <w:trPr>
          <w:trHeight w:hRule="exact" w:val="697"/>
        </w:trPr>
        <w:tc>
          <w:tcPr>
            <w:tcW w:w="4322" w:type="dxa"/>
            <w:vAlign w:val="center"/>
          </w:tcPr>
          <w:p w:rsidR="00584C86" w:rsidRDefault="00584C86" w:rsidP="00ED3C1B">
            <w:pPr>
              <w:jc w:val="center"/>
              <w:rPr>
                <w:sz w:val="20"/>
              </w:rPr>
            </w:pPr>
            <w:r w:rsidRPr="008B1AAA">
              <w:rPr>
                <w:sz w:val="20"/>
              </w:rPr>
              <w:t>Épargne brute (excédent de fonctionnement)</w:t>
            </w:r>
          </w:p>
          <w:p w:rsidR="00584C86" w:rsidRPr="008B1AAA" w:rsidRDefault="00ED3C1B" w:rsidP="00ED3C1B">
            <w:pPr>
              <w:jc w:val="center"/>
              <w:rPr>
                <w:sz w:val="20"/>
              </w:rPr>
            </w:pPr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12.05pt;margin-top:20.3pt;width:40.45pt;height:53.85pt;z-index:251661312" o:connectortype="straight">
                  <v:stroke endarrow="block"/>
                </v:shape>
              </w:pict>
            </w:r>
            <w:r w:rsidR="00584C86">
              <w:rPr>
                <w:sz w:val="20"/>
              </w:rPr>
              <w:t>12,3 Md€ (+ 8,5 %)</w:t>
            </w:r>
          </w:p>
        </w:tc>
      </w:tr>
      <w:tr w:rsidR="00584C86" w:rsidTr="00ED3C1B">
        <w:trPr>
          <w:trHeight w:hRule="exact" w:val="2965"/>
        </w:trPr>
        <w:tc>
          <w:tcPr>
            <w:tcW w:w="4322" w:type="dxa"/>
            <w:shd w:val="clear" w:color="auto" w:fill="EAF1DD" w:themeFill="accent3" w:themeFillTint="33"/>
            <w:vAlign w:val="center"/>
          </w:tcPr>
          <w:p w:rsidR="00584C86" w:rsidRPr="008B1AAA" w:rsidRDefault="00584C86" w:rsidP="00CB699D">
            <w:pPr>
              <w:jc w:val="center"/>
              <w:rPr>
                <w:sz w:val="20"/>
              </w:rPr>
            </w:pPr>
            <w:r>
              <w:lastRenderedPageBreak/>
              <w:br w:type="column"/>
            </w:r>
            <w:r w:rsidRPr="008B1AAA">
              <w:rPr>
                <w:sz w:val="20"/>
              </w:rPr>
              <w:br w:type="column"/>
            </w:r>
            <w:r w:rsidRPr="008B1AAA">
              <w:rPr>
                <w:sz w:val="20"/>
              </w:rPr>
              <w:br w:type="column"/>
              <w:t>Impôts et taxes</w:t>
            </w:r>
          </w:p>
          <w:p w:rsidR="00584C86" w:rsidRPr="008B1AAA" w:rsidRDefault="00584C86" w:rsidP="00CB699D">
            <w:pPr>
              <w:jc w:val="center"/>
              <w:rPr>
                <w:sz w:val="20"/>
              </w:rPr>
            </w:pPr>
            <w:r w:rsidRPr="008B1AAA">
              <w:rPr>
                <w:sz w:val="20"/>
              </w:rPr>
              <w:t>52,3 Md€ (+ 1,2 %)</w:t>
            </w:r>
          </w:p>
        </w:tc>
      </w:tr>
      <w:tr w:rsidR="00584C86" w:rsidTr="00ED3C1B">
        <w:trPr>
          <w:trHeight w:hRule="exact" w:val="799"/>
        </w:trPr>
        <w:tc>
          <w:tcPr>
            <w:tcW w:w="4322" w:type="dxa"/>
            <w:shd w:val="clear" w:color="auto" w:fill="D6E3BC" w:themeFill="accent3" w:themeFillTint="66"/>
            <w:vAlign w:val="center"/>
          </w:tcPr>
          <w:p w:rsidR="00584C86" w:rsidRDefault="00584C86" w:rsidP="00CB699D">
            <w:pPr>
              <w:jc w:val="center"/>
              <w:rPr>
                <w:sz w:val="20"/>
              </w:rPr>
            </w:pPr>
            <w:r w:rsidRPr="008B1AAA">
              <w:rPr>
                <w:sz w:val="20"/>
              </w:rPr>
              <w:t>Concours de l’État</w:t>
            </w:r>
          </w:p>
          <w:p w:rsidR="00584C86" w:rsidRPr="008B1AAA" w:rsidRDefault="00584C86" w:rsidP="00CB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14,1 Md€ (- 0,3 %)</w:t>
            </w:r>
          </w:p>
        </w:tc>
      </w:tr>
      <w:tr w:rsidR="00584C86" w:rsidTr="00ED3C1B">
        <w:trPr>
          <w:trHeight w:hRule="exact" w:val="760"/>
        </w:trPr>
        <w:tc>
          <w:tcPr>
            <w:tcW w:w="4322" w:type="dxa"/>
            <w:shd w:val="clear" w:color="auto" w:fill="C2D69B" w:themeFill="accent3" w:themeFillTint="99"/>
            <w:vAlign w:val="center"/>
          </w:tcPr>
          <w:p w:rsidR="00584C86" w:rsidRPr="008B1AAA" w:rsidRDefault="00584C86" w:rsidP="00CB699D">
            <w:pPr>
              <w:jc w:val="center"/>
              <w:rPr>
                <w:sz w:val="20"/>
              </w:rPr>
            </w:pPr>
            <w:r w:rsidRPr="008B1AAA">
              <w:rPr>
                <w:sz w:val="20"/>
              </w:rPr>
              <w:t xml:space="preserve">Autres : </w:t>
            </w:r>
            <w:r>
              <w:rPr>
                <w:sz w:val="20"/>
              </w:rPr>
              <w:t>13,4 Md€ (+ 0,3 %)</w:t>
            </w:r>
          </w:p>
        </w:tc>
      </w:tr>
    </w:tbl>
    <w:p w:rsidR="00584C86" w:rsidRDefault="00584C86"/>
    <w:p w:rsidR="00584C86" w:rsidRDefault="00584C86">
      <w:pPr>
        <w:sectPr w:rsidR="00584C86" w:rsidSect="00584C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84C86" w:rsidRDefault="00584C86" w:rsidP="00584C86">
      <w:pPr>
        <w:pBdr>
          <w:top w:val="dashed" w:sz="4" w:space="1" w:color="auto"/>
        </w:pBdr>
      </w:pPr>
      <w:r>
        <w:lastRenderedPageBreak/>
        <w:t>INVESTISSEMENT</w:t>
      </w:r>
    </w:p>
    <w:p w:rsidR="00584C86" w:rsidRDefault="00584C86">
      <w:pPr>
        <w:sectPr w:rsidR="00584C86" w:rsidSect="00584C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4322"/>
      </w:tblGrid>
      <w:tr w:rsidR="00584C86" w:rsidTr="00ED3C1B">
        <w:trPr>
          <w:trHeight w:hRule="exact" w:val="1134"/>
        </w:trPr>
        <w:tc>
          <w:tcPr>
            <w:tcW w:w="4322" w:type="dxa"/>
            <w:shd w:val="clear" w:color="auto" w:fill="F2DBDB" w:themeFill="accent2" w:themeFillTint="33"/>
            <w:vAlign w:val="center"/>
          </w:tcPr>
          <w:p w:rsidR="00584C86" w:rsidRPr="008B1AAA" w:rsidRDefault="00584C86" w:rsidP="00CB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Dépenses d’équipement</w:t>
            </w:r>
          </w:p>
          <w:p w:rsidR="00584C86" w:rsidRPr="008B1AAA" w:rsidRDefault="00584C86" w:rsidP="00CB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  <w:r w:rsidRPr="008B1AAA">
              <w:rPr>
                <w:sz w:val="20"/>
              </w:rPr>
              <w:t xml:space="preserve"> Md€ (</w:t>
            </w:r>
            <w:r>
              <w:rPr>
                <w:sz w:val="20"/>
              </w:rPr>
              <w:t>+ 6,9</w:t>
            </w:r>
            <w:r w:rsidRPr="008B1AAA">
              <w:rPr>
                <w:sz w:val="20"/>
              </w:rPr>
              <w:t xml:space="preserve"> %)</w:t>
            </w:r>
          </w:p>
        </w:tc>
      </w:tr>
      <w:tr w:rsidR="00584C86" w:rsidTr="00CB699D">
        <w:trPr>
          <w:trHeight w:hRule="exact" w:val="125"/>
        </w:trPr>
        <w:tc>
          <w:tcPr>
            <w:tcW w:w="4322" w:type="dxa"/>
            <w:shd w:val="clear" w:color="auto" w:fill="E5B8B7" w:themeFill="accent2" w:themeFillTint="66"/>
            <w:vAlign w:val="center"/>
          </w:tcPr>
          <w:p w:rsidR="00584C86" w:rsidRPr="008B1AAA" w:rsidRDefault="00ED3C1B" w:rsidP="00CB699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pict>
                <v:shape id="_x0000_s1026" type="#_x0000_t32" style="position:absolute;left:0;text-align:left;margin-left:41.35pt;margin-top:2.8pt;width:.05pt;height:14pt;flip:y;z-index:251658240;mso-position-horizontal-relative:text;mso-position-vertical-relative:text" o:connectortype="straight"/>
              </w:pict>
            </w:r>
          </w:p>
        </w:tc>
      </w:tr>
      <w:tr w:rsidR="00584C86" w:rsidTr="00CB699D">
        <w:trPr>
          <w:trHeight w:hRule="exact" w:val="74"/>
        </w:trPr>
        <w:tc>
          <w:tcPr>
            <w:tcW w:w="4322" w:type="dxa"/>
            <w:vAlign w:val="center"/>
          </w:tcPr>
          <w:p w:rsidR="00584C86" w:rsidRPr="008B1AAA" w:rsidRDefault="00ED3C1B" w:rsidP="00CB699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pict>
                <v:shape id="_x0000_s1027" type="#_x0000_t32" style="position:absolute;left:0;text-align:left;margin-left:191pt;margin-top:2.8pt;width:0;height:21.35pt;flip:y;z-index:251659264;mso-position-horizontal-relative:text;mso-position-vertical-relative:text" o:connectortype="straight"/>
              </w:pict>
            </w:r>
          </w:p>
        </w:tc>
      </w:tr>
    </w:tbl>
    <w:p w:rsidR="00584C86" w:rsidRDefault="00584C86" w:rsidP="00ED3C1B">
      <w:pPr>
        <w:spacing w:before="120" w:after="0"/>
        <w:rPr>
          <w:sz w:val="20"/>
        </w:rPr>
      </w:pPr>
      <w:r>
        <w:rPr>
          <w:sz w:val="20"/>
        </w:rPr>
        <w:t>Subventions</w:t>
      </w:r>
      <w:r w:rsidR="00CB699D">
        <w:rPr>
          <w:sz w:val="20"/>
        </w:rPr>
        <w:t xml:space="preserve"> et autres</w:t>
      </w:r>
      <w:r>
        <w:rPr>
          <w:sz w:val="20"/>
        </w:rPr>
        <w:t xml:space="preserve"> : </w:t>
      </w:r>
      <w:r w:rsidR="00CB699D">
        <w:rPr>
          <w:sz w:val="20"/>
        </w:rPr>
        <w:t>2,2</w:t>
      </w:r>
      <w:r>
        <w:rPr>
          <w:sz w:val="20"/>
        </w:rPr>
        <w:t xml:space="preserve"> Md€ (</w:t>
      </w:r>
      <w:r w:rsidR="00CB699D">
        <w:rPr>
          <w:sz w:val="20"/>
        </w:rPr>
        <w:t>- 2,6</w:t>
      </w:r>
      <w:r>
        <w:rPr>
          <w:sz w:val="20"/>
        </w:rPr>
        <w:t xml:space="preserve"> %)</w:t>
      </w:r>
    </w:p>
    <w:p w:rsidR="00584C86" w:rsidRDefault="00ED3C1B" w:rsidP="00584C86">
      <w:pPr>
        <w:jc w:val="right"/>
        <w:rPr>
          <w:sz w:val="20"/>
        </w:rPr>
      </w:pPr>
      <w:r>
        <w:rPr>
          <w:noProof/>
          <w:sz w:val="20"/>
          <w:lang w:eastAsia="fr-FR"/>
        </w:rPr>
        <w:pict>
          <v:shape id="_x0000_s1028" type="#_x0000_t32" style="position:absolute;left:0;text-align:left;margin-left:211pt;margin-top:9.25pt;width:36.65pt;height:65.05pt;z-index:251660288" o:connectortype="straight">
            <v:stroke endarrow="block"/>
          </v:shape>
        </w:pict>
      </w:r>
      <w:r w:rsidR="00584C86">
        <w:rPr>
          <w:sz w:val="20"/>
        </w:rPr>
        <w:t>Capacité de financement : +1,3 Md€</w:t>
      </w:r>
    </w:p>
    <w:tbl>
      <w:tblPr>
        <w:tblStyle w:val="Grilledutableau"/>
        <w:tblW w:w="0" w:type="auto"/>
        <w:tblLook w:val="04A0"/>
      </w:tblPr>
      <w:tblGrid>
        <w:gridCol w:w="4322"/>
      </w:tblGrid>
      <w:tr w:rsidR="00584C86" w:rsidTr="00CB699D">
        <w:trPr>
          <w:trHeight w:hRule="exact" w:val="697"/>
        </w:trPr>
        <w:tc>
          <w:tcPr>
            <w:tcW w:w="4322" w:type="dxa"/>
            <w:vAlign w:val="center"/>
          </w:tcPr>
          <w:p w:rsidR="00584C86" w:rsidRDefault="00584C86" w:rsidP="00CB699D">
            <w:pPr>
              <w:jc w:val="center"/>
              <w:rPr>
                <w:sz w:val="20"/>
              </w:rPr>
            </w:pPr>
            <w:r>
              <w:lastRenderedPageBreak/>
              <w:br w:type="column"/>
            </w:r>
            <w:r w:rsidRPr="008B1AAA">
              <w:rPr>
                <w:sz w:val="20"/>
              </w:rPr>
              <w:t>Épargne brute (excédent de fonctionnement)</w:t>
            </w:r>
          </w:p>
          <w:p w:rsidR="00584C86" w:rsidRPr="008B1AAA" w:rsidRDefault="00584C86" w:rsidP="00CB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 Md€ (+ 8,5 %)</w:t>
            </w:r>
          </w:p>
        </w:tc>
      </w:tr>
      <w:tr w:rsidR="00584C86" w:rsidTr="00ED3C1B">
        <w:trPr>
          <w:trHeight w:hRule="exact" w:val="442"/>
        </w:trPr>
        <w:tc>
          <w:tcPr>
            <w:tcW w:w="4322" w:type="dxa"/>
            <w:shd w:val="clear" w:color="auto" w:fill="EAF1DD" w:themeFill="accent3" w:themeFillTint="33"/>
            <w:vAlign w:val="center"/>
          </w:tcPr>
          <w:p w:rsidR="00584C86" w:rsidRPr="008B1AAA" w:rsidRDefault="00584C86" w:rsidP="00CB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Dotations et subventions : 7,8 Md€ (+ 10,8 %)</w:t>
            </w:r>
          </w:p>
        </w:tc>
      </w:tr>
      <w:tr w:rsidR="00584C86" w:rsidTr="00ED3C1B">
        <w:trPr>
          <w:trHeight w:hRule="exact" w:val="193"/>
        </w:trPr>
        <w:tc>
          <w:tcPr>
            <w:tcW w:w="4322" w:type="dxa"/>
            <w:shd w:val="clear" w:color="auto" w:fill="D6E3BC" w:themeFill="accent3" w:themeFillTint="66"/>
            <w:vAlign w:val="center"/>
          </w:tcPr>
          <w:p w:rsidR="00584C86" w:rsidRDefault="00ED3C1B" w:rsidP="00CB699D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pict>
                <v:shape id="_x0000_s1032" type="#_x0000_t32" style="position:absolute;left:0;text-align:left;margin-left:22.05pt;margin-top:7.05pt;width:.05pt;height:14pt;flip:y;z-index:251664384;mso-position-horizontal-relative:text;mso-position-vertical-relative:text" o:connectortype="straight"/>
              </w:pict>
            </w:r>
          </w:p>
        </w:tc>
      </w:tr>
    </w:tbl>
    <w:p w:rsidR="00584C86" w:rsidRDefault="00584C86" w:rsidP="00ED3C1B">
      <w:pPr>
        <w:spacing w:before="120" w:after="0"/>
        <w:rPr>
          <w:sz w:val="20"/>
        </w:rPr>
      </w:pPr>
      <w:r>
        <w:rPr>
          <w:sz w:val="20"/>
        </w:rPr>
        <w:t>Autres : 3,4 Md€ (+ 8,5 %)</w:t>
      </w:r>
    </w:p>
    <w:p w:rsidR="00584C86" w:rsidRDefault="00584C86"/>
    <w:p w:rsidR="00584C86" w:rsidRDefault="00584C86">
      <w:pPr>
        <w:sectPr w:rsidR="00584C86" w:rsidSect="00584C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84C86" w:rsidRDefault="00584C86" w:rsidP="00584C86">
      <w:pPr>
        <w:pBdr>
          <w:top w:val="dashed" w:sz="4" w:space="1" w:color="auto"/>
        </w:pBdr>
      </w:pPr>
      <w:r>
        <w:lastRenderedPageBreak/>
        <w:t>FINANCEMENT</w:t>
      </w:r>
    </w:p>
    <w:p w:rsidR="00584C86" w:rsidRDefault="00584C86">
      <w:pPr>
        <w:sectPr w:rsidR="00584C86" w:rsidSect="00584C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4C86" w:rsidRPr="0015263B" w:rsidRDefault="00584C86" w:rsidP="00584C86">
      <w:pPr>
        <w:spacing w:after="120"/>
        <w:rPr>
          <w:sz w:val="20"/>
        </w:rPr>
      </w:pPr>
    </w:p>
    <w:tbl>
      <w:tblPr>
        <w:tblStyle w:val="Grilledutableau"/>
        <w:tblW w:w="0" w:type="auto"/>
        <w:tblLook w:val="04A0"/>
      </w:tblPr>
      <w:tblGrid>
        <w:gridCol w:w="4322"/>
      </w:tblGrid>
      <w:tr w:rsidR="00584C86" w:rsidTr="00ED3C1B">
        <w:trPr>
          <w:trHeight w:hRule="exact" w:val="351"/>
        </w:trPr>
        <w:tc>
          <w:tcPr>
            <w:tcW w:w="4322" w:type="dxa"/>
            <w:shd w:val="clear" w:color="auto" w:fill="F2DBDB" w:themeFill="accent2" w:themeFillTint="33"/>
            <w:vAlign w:val="center"/>
          </w:tcPr>
          <w:p w:rsidR="00584C86" w:rsidRPr="008B1AAA" w:rsidRDefault="00584C86" w:rsidP="00CB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Remboursements de dette : 6,2 Md€ (+ 1,2 %)</w:t>
            </w:r>
          </w:p>
        </w:tc>
      </w:tr>
      <w:tr w:rsidR="00584C86" w:rsidTr="00CB699D">
        <w:trPr>
          <w:trHeight w:hRule="exact" w:val="45"/>
        </w:trPr>
        <w:tc>
          <w:tcPr>
            <w:tcW w:w="4322" w:type="dxa"/>
            <w:vAlign w:val="center"/>
          </w:tcPr>
          <w:p w:rsidR="00584C86" w:rsidRPr="008B1AAA" w:rsidRDefault="00ED3C1B" w:rsidP="00CB699D">
            <w:pPr>
              <w:jc w:val="center"/>
              <w:rPr>
                <w:sz w:val="20"/>
              </w:rPr>
            </w:pPr>
            <w:r>
              <w:rPr>
                <w:noProof/>
                <w:lang w:eastAsia="fr-FR"/>
              </w:rPr>
              <w:pict>
                <v:shape id="_x0000_s1031" type="#_x0000_t32" style="position:absolute;left:0;text-align:left;margin-left:101.55pt;margin-top:2pt;width:0;height:11pt;flip:y;z-index:251663360;mso-position-horizontal-relative:text;mso-position-vertical-relative:text" o:connectortype="straight"/>
              </w:pict>
            </w:r>
          </w:p>
        </w:tc>
      </w:tr>
    </w:tbl>
    <w:p w:rsidR="00584C86" w:rsidRPr="0015263B" w:rsidRDefault="00584C86" w:rsidP="00584C86">
      <w:pPr>
        <w:spacing w:after="0"/>
        <w:rPr>
          <w:sz w:val="14"/>
        </w:rPr>
      </w:pPr>
    </w:p>
    <w:p w:rsidR="00584C86" w:rsidRPr="00634553" w:rsidRDefault="00584C86" w:rsidP="00ED3C1B">
      <w:pPr>
        <w:rPr>
          <w:sz w:val="20"/>
        </w:rPr>
      </w:pPr>
      <w:r w:rsidRPr="00634553">
        <w:rPr>
          <w:sz w:val="20"/>
        </w:rPr>
        <w:t>Variation du fonds de roulement</w:t>
      </w:r>
      <w:r>
        <w:rPr>
          <w:sz w:val="20"/>
        </w:rPr>
        <w:t> : + 0,8 Md€</w:t>
      </w:r>
    </w:p>
    <w:p w:rsidR="00584C86" w:rsidRDefault="00ED3C1B" w:rsidP="00584C86">
      <w:pPr>
        <w:spacing w:after="120"/>
        <w:rPr>
          <w:sz w:val="20"/>
        </w:rPr>
      </w:pPr>
      <w:r>
        <w:rPr>
          <w:noProof/>
          <w:lang w:eastAsia="fr-FR"/>
        </w:rPr>
        <w:pict>
          <v:shape id="_x0000_s1030" type="#_x0000_t32" style="position:absolute;margin-left:313.15pt;margin-top:-63.2pt;width:0;height:11pt;flip:y;z-index:251662336" o:connectortype="straight"/>
        </w:pict>
      </w:r>
      <w:r w:rsidR="00584C86">
        <w:br w:type="column"/>
      </w:r>
      <w:r w:rsidR="00584C86">
        <w:rPr>
          <w:sz w:val="20"/>
        </w:rPr>
        <w:lastRenderedPageBreak/>
        <w:t>Capacité de financement : +1,3 Md€</w:t>
      </w:r>
    </w:p>
    <w:tbl>
      <w:tblPr>
        <w:tblStyle w:val="Grilledutableau"/>
        <w:tblW w:w="0" w:type="auto"/>
        <w:tblLook w:val="04A0"/>
      </w:tblPr>
      <w:tblGrid>
        <w:gridCol w:w="4322"/>
      </w:tblGrid>
      <w:tr w:rsidR="00584C86" w:rsidTr="00CB699D">
        <w:trPr>
          <w:trHeight w:hRule="exact" w:val="74"/>
        </w:trPr>
        <w:tc>
          <w:tcPr>
            <w:tcW w:w="4322" w:type="dxa"/>
            <w:vAlign w:val="center"/>
          </w:tcPr>
          <w:p w:rsidR="00584C86" w:rsidRPr="008B1AAA" w:rsidRDefault="00584C86" w:rsidP="00CB699D">
            <w:pPr>
              <w:jc w:val="center"/>
              <w:rPr>
                <w:sz w:val="20"/>
              </w:rPr>
            </w:pPr>
          </w:p>
        </w:tc>
      </w:tr>
      <w:tr w:rsidR="00584C86" w:rsidTr="00ED3C1B">
        <w:trPr>
          <w:trHeight w:hRule="exact" w:val="323"/>
        </w:trPr>
        <w:tc>
          <w:tcPr>
            <w:tcW w:w="4322" w:type="dxa"/>
            <w:shd w:val="clear" w:color="auto" w:fill="EAF1DD" w:themeFill="accent3" w:themeFillTint="33"/>
            <w:vAlign w:val="center"/>
          </w:tcPr>
          <w:p w:rsidR="00584C86" w:rsidRPr="008B1AAA" w:rsidRDefault="00584C86" w:rsidP="00CB69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Emprunts : 5,7 Md€ (- 11,2 %)</w:t>
            </w:r>
          </w:p>
        </w:tc>
      </w:tr>
    </w:tbl>
    <w:p w:rsidR="00584C86" w:rsidRPr="0015263B" w:rsidRDefault="00584C86" w:rsidP="00584C86">
      <w:pPr>
        <w:rPr>
          <w:sz w:val="20"/>
        </w:rPr>
      </w:pPr>
    </w:p>
    <w:p w:rsidR="00CB699D" w:rsidRDefault="00CB699D">
      <w:pPr>
        <w:sectPr w:rsidR="00CB699D" w:rsidSect="00584C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84C86" w:rsidRDefault="00584C86"/>
    <w:sectPr w:rsidR="00584C86" w:rsidSect="00CB69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84C86"/>
    <w:rsid w:val="001257E7"/>
    <w:rsid w:val="005661A0"/>
    <w:rsid w:val="00584C86"/>
    <w:rsid w:val="007561EA"/>
    <w:rsid w:val="00CB699D"/>
    <w:rsid w:val="00ED3C1B"/>
    <w:rsid w:val="00F4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4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 Xavier -DESL</dc:creator>
  <cp:lastModifiedBy>NIEL Xavier -DESL</cp:lastModifiedBy>
  <cp:revision>2</cp:revision>
  <dcterms:created xsi:type="dcterms:W3CDTF">2019-11-05T09:52:00Z</dcterms:created>
  <dcterms:modified xsi:type="dcterms:W3CDTF">2019-11-05T17:35:00Z</dcterms:modified>
</cp:coreProperties>
</file>